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7B4AD" w14:textId="77777777" w:rsidR="00766B4B" w:rsidRPr="00094C7E" w:rsidRDefault="00766B4B" w:rsidP="000C31C6">
      <w:pPr>
        <w:jc w:val="center"/>
        <w:rPr>
          <w:b/>
          <w:lang w:val="en-GB"/>
        </w:rPr>
      </w:pPr>
    </w:p>
    <w:p w14:paraId="187B261E" w14:textId="77777777" w:rsidR="00766B4B" w:rsidRPr="00094C7E" w:rsidRDefault="00766B4B" w:rsidP="000C31C6">
      <w:pPr>
        <w:jc w:val="center"/>
        <w:rPr>
          <w:b/>
          <w:lang w:val="en-GB"/>
        </w:rPr>
      </w:pPr>
    </w:p>
    <w:p w14:paraId="47721B80" w14:textId="77777777" w:rsidR="00766B4B" w:rsidRPr="00094C7E" w:rsidRDefault="00766B4B" w:rsidP="005E79F7">
      <w:pPr>
        <w:jc w:val="center"/>
        <w:rPr>
          <w:b/>
          <w:lang w:val="en-GB"/>
        </w:rPr>
      </w:pPr>
    </w:p>
    <w:p w14:paraId="7F95C5BA" w14:textId="77777777" w:rsidR="00766B4B" w:rsidRPr="00094C7E" w:rsidRDefault="00766B4B" w:rsidP="008644CA">
      <w:pPr>
        <w:jc w:val="center"/>
        <w:rPr>
          <w:rFonts w:ascii="Arial" w:hAnsi="Arial" w:cs="Arial"/>
          <w:b/>
          <w:bCs/>
          <w:sz w:val="22"/>
          <w:szCs w:val="22"/>
          <w:lang w:val="en-GB"/>
        </w:rPr>
      </w:pPr>
      <w:r w:rsidRPr="00094C7E">
        <w:rPr>
          <w:rFonts w:ascii="Arial" w:hAnsi="Arial" w:cs="Arial"/>
          <w:b/>
          <w:bCs/>
          <w:sz w:val="22"/>
          <w:szCs w:val="22"/>
          <w:lang w:val="en-GB"/>
        </w:rPr>
        <w:t>DECISION ON THE IMPLEMENTATION OF THE PANEL’S RECOMMENDATIONS</w:t>
      </w:r>
    </w:p>
    <w:p w14:paraId="2FCF74AC" w14:textId="77777777" w:rsidR="00766B4B" w:rsidRPr="00094C7E" w:rsidRDefault="00766B4B" w:rsidP="008644CA">
      <w:pPr>
        <w:autoSpaceDE w:val="0"/>
        <w:ind w:left="720" w:firstLine="720"/>
        <w:jc w:val="both"/>
        <w:rPr>
          <w:rFonts w:ascii="Arial" w:hAnsi="Arial" w:cs="Arial"/>
          <w:b/>
          <w:bCs/>
          <w:sz w:val="22"/>
          <w:szCs w:val="22"/>
          <w:lang w:val="en-GB"/>
        </w:rPr>
      </w:pPr>
    </w:p>
    <w:p w14:paraId="44BBA6F4" w14:textId="77777777" w:rsidR="00766B4B" w:rsidRPr="00094C7E" w:rsidRDefault="00766B4B" w:rsidP="008644CA">
      <w:pPr>
        <w:autoSpaceDE w:val="0"/>
        <w:ind w:left="720" w:firstLine="720"/>
        <w:jc w:val="both"/>
        <w:rPr>
          <w:rFonts w:ascii="Arial" w:hAnsi="Arial" w:cs="Arial"/>
          <w:b/>
          <w:bCs/>
          <w:sz w:val="22"/>
          <w:szCs w:val="22"/>
          <w:lang w:val="en-GB"/>
        </w:rPr>
      </w:pPr>
    </w:p>
    <w:p w14:paraId="6E00A884" w14:textId="77777777" w:rsidR="00766B4B" w:rsidRPr="00094C7E" w:rsidRDefault="00766B4B" w:rsidP="008644CA">
      <w:pPr>
        <w:autoSpaceDE w:val="0"/>
        <w:ind w:left="720" w:firstLine="720"/>
        <w:jc w:val="both"/>
        <w:rPr>
          <w:rFonts w:ascii="Arial" w:hAnsi="Arial" w:cs="Arial"/>
          <w:b/>
          <w:bCs/>
          <w:sz w:val="22"/>
          <w:szCs w:val="22"/>
          <w:lang w:val="en-GB"/>
        </w:rPr>
      </w:pPr>
    </w:p>
    <w:p w14:paraId="2A4DD3E7" w14:textId="77777777" w:rsidR="00766B4B" w:rsidRPr="00094C7E" w:rsidRDefault="00766B4B" w:rsidP="00454C9C">
      <w:pPr>
        <w:autoSpaceDE w:val="0"/>
        <w:jc w:val="center"/>
        <w:rPr>
          <w:rFonts w:ascii="Arial" w:hAnsi="Arial" w:cs="Arial"/>
          <w:b/>
          <w:bCs/>
          <w:sz w:val="22"/>
          <w:szCs w:val="22"/>
          <w:lang w:val="en-GB"/>
        </w:rPr>
      </w:pPr>
      <w:r w:rsidRPr="00094C7E">
        <w:rPr>
          <w:rFonts w:ascii="Arial" w:hAnsi="Arial" w:cs="Arial"/>
          <w:b/>
          <w:bCs/>
          <w:sz w:val="22"/>
          <w:szCs w:val="22"/>
          <w:lang w:val="en-GB"/>
        </w:rPr>
        <w:t xml:space="preserve">Date of adoption: </w:t>
      </w:r>
      <w:r w:rsidR="00CD7B58">
        <w:rPr>
          <w:rFonts w:ascii="Arial" w:hAnsi="Arial" w:cs="Arial"/>
          <w:b/>
          <w:bCs/>
          <w:sz w:val="22"/>
          <w:szCs w:val="22"/>
          <w:lang w:val="en-GB"/>
        </w:rPr>
        <w:t>11 November 2015</w:t>
      </w:r>
    </w:p>
    <w:p w14:paraId="06C719D1" w14:textId="77777777" w:rsidR="00766B4B" w:rsidRPr="00094C7E" w:rsidRDefault="00766B4B" w:rsidP="00454C9C">
      <w:pPr>
        <w:autoSpaceDE w:val="0"/>
        <w:jc w:val="center"/>
        <w:rPr>
          <w:rFonts w:ascii="Arial" w:hAnsi="Arial" w:cs="Arial"/>
          <w:b/>
          <w:bCs/>
          <w:sz w:val="22"/>
          <w:szCs w:val="22"/>
          <w:lang w:val="en-GB"/>
        </w:rPr>
      </w:pPr>
    </w:p>
    <w:p w14:paraId="1F3612B0" w14:textId="77777777" w:rsidR="00766B4B" w:rsidRPr="00094C7E" w:rsidRDefault="00766B4B" w:rsidP="00454C9C">
      <w:pPr>
        <w:autoSpaceDE w:val="0"/>
        <w:jc w:val="center"/>
        <w:rPr>
          <w:rFonts w:ascii="Arial" w:hAnsi="Arial" w:cs="Arial"/>
          <w:b/>
          <w:bCs/>
          <w:sz w:val="22"/>
          <w:szCs w:val="22"/>
          <w:lang w:val="en-GB"/>
        </w:rPr>
      </w:pPr>
    </w:p>
    <w:p w14:paraId="7877A068" w14:textId="77777777" w:rsidR="00766B4B" w:rsidRPr="00094C7E" w:rsidRDefault="00766B4B" w:rsidP="00DD5251">
      <w:pPr>
        <w:autoSpaceDE w:val="0"/>
        <w:jc w:val="center"/>
        <w:rPr>
          <w:rFonts w:ascii="Arial" w:hAnsi="Arial" w:cs="Arial"/>
          <w:b/>
          <w:bCs/>
          <w:sz w:val="22"/>
          <w:szCs w:val="22"/>
          <w:lang w:val="en-GB"/>
        </w:rPr>
      </w:pPr>
      <w:r w:rsidRPr="00094C7E">
        <w:rPr>
          <w:rFonts w:ascii="Arial" w:hAnsi="Arial" w:cs="Arial"/>
          <w:b/>
          <w:bCs/>
          <w:sz w:val="22"/>
          <w:szCs w:val="22"/>
          <w:lang w:val="en-GB"/>
        </w:rPr>
        <w:t xml:space="preserve"> Case no. 2011-20</w:t>
      </w:r>
    </w:p>
    <w:p w14:paraId="2051B802" w14:textId="77777777" w:rsidR="00766B4B" w:rsidRPr="00094C7E" w:rsidRDefault="00766B4B" w:rsidP="00DD5251">
      <w:pPr>
        <w:autoSpaceDE w:val="0"/>
        <w:jc w:val="center"/>
        <w:rPr>
          <w:rFonts w:ascii="Arial" w:hAnsi="Arial" w:cs="Arial"/>
          <w:b/>
          <w:bCs/>
          <w:sz w:val="22"/>
          <w:szCs w:val="22"/>
          <w:lang w:val="en-GB"/>
        </w:rPr>
      </w:pPr>
    </w:p>
    <w:p w14:paraId="7A0CF2E0" w14:textId="77777777" w:rsidR="00766B4B" w:rsidRPr="00094C7E" w:rsidRDefault="00766B4B" w:rsidP="00DD5251">
      <w:pPr>
        <w:autoSpaceDE w:val="0"/>
        <w:jc w:val="center"/>
        <w:rPr>
          <w:rFonts w:ascii="Arial" w:hAnsi="Arial" w:cs="Arial"/>
          <w:b/>
          <w:bCs/>
          <w:sz w:val="22"/>
          <w:szCs w:val="22"/>
          <w:lang w:val="en-GB"/>
        </w:rPr>
      </w:pPr>
    </w:p>
    <w:p w14:paraId="5DCE6685" w14:textId="77777777" w:rsidR="00766B4B" w:rsidRPr="00094C7E" w:rsidRDefault="00766B4B" w:rsidP="00454C9C">
      <w:pPr>
        <w:autoSpaceDE w:val="0"/>
        <w:jc w:val="center"/>
        <w:rPr>
          <w:rFonts w:ascii="Arial" w:hAnsi="Arial" w:cs="Arial"/>
          <w:b/>
          <w:bCs/>
          <w:sz w:val="22"/>
          <w:szCs w:val="22"/>
          <w:lang w:val="en-GB"/>
        </w:rPr>
      </w:pPr>
      <w:r w:rsidRPr="00094C7E">
        <w:rPr>
          <w:rFonts w:ascii="Arial" w:hAnsi="Arial" w:cs="Arial"/>
          <w:b/>
          <w:bCs/>
          <w:sz w:val="22"/>
          <w:szCs w:val="22"/>
          <w:lang w:val="en-GB"/>
        </w:rPr>
        <w:t>X and 115 other complainants</w:t>
      </w:r>
    </w:p>
    <w:p w14:paraId="523FF2ED" w14:textId="77777777" w:rsidR="00766B4B" w:rsidRPr="00094C7E" w:rsidRDefault="00766B4B" w:rsidP="00454C9C">
      <w:pPr>
        <w:autoSpaceDE w:val="0"/>
        <w:jc w:val="center"/>
        <w:rPr>
          <w:rFonts w:ascii="Arial" w:hAnsi="Arial" w:cs="Arial"/>
          <w:b/>
          <w:bCs/>
          <w:sz w:val="22"/>
          <w:szCs w:val="22"/>
          <w:lang w:val="en-GB"/>
        </w:rPr>
      </w:pPr>
    </w:p>
    <w:p w14:paraId="7A575C8A" w14:textId="77777777" w:rsidR="00766B4B" w:rsidRPr="00094C7E" w:rsidRDefault="00766B4B" w:rsidP="00454C9C">
      <w:pPr>
        <w:autoSpaceDE w:val="0"/>
        <w:jc w:val="center"/>
        <w:rPr>
          <w:rFonts w:ascii="Arial" w:hAnsi="Arial" w:cs="Arial"/>
          <w:b/>
          <w:bCs/>
          <w:sz w:val="22"/>
          <w:szCs w:val="22"/>
          <w:lang w:val="en-GB"/>
        </w:rPr>
      </w:pPr>
      <w:r w:rsidRPr="00094C7E">
        <w:rPr>
          <w:rFonts w:ascii="Arial" w:hAnsi="Arial" w:cs="Arial"/>
          <w:b/>
          <w:bCs/>
          <w:sz w:val="22"/>
          <w:szCs w:val="22"/>
          <w:lang w:val="en-GB"/>
        </w:rPr>
        <w:t>Against</w:t>
      </w:r>
    </w:p>
    <w:p w14:paraId="0486104C" w14:textId="77777777" w:rsidR="00766B4B" w:rsidRPr="00094C7E" w:rsidRDefault="00766B4B" w:rsidP="00454C9C">
      <w:pPr>
        <w:autoSpaceDE w:val="0"/>
        <w:jc w:val="center"/>
        <w:rPr>
          <w:rFonts w:ascii="Arial" w:hAnsi="Arial" w:cs="Arial"/>
          <w:b/>
          <w:bCs/>
          <w:sz w:val="22"/>
          <w:szCs w:val="22"/>
          <w:lang w:val="en-GB"/>
        </w:rPr>
      </w:pPr>
    </w:p>
    <w:p w14:paraId="262BF852" w14:textId="77777777" w:rsidR="00766B4B" w:rsidRPr="00094C7E" w:rsidRDefault="00766B4B" w:rsidP="00454C9C">
      <w:pPr>
        <w:autoSpaceDE w:val="0"/>
        <w:jc w:val="center"/>
        <w:rPr>
          <w:rFonts w:ascii="Arial" w:hAnsi="Arial" w:cs="Arial"/>
          <w:b/>
          <w:bCs/>
          <w:i/>
          <w:sz w:val="22"/>
          <w:szCs w:val="22"/>
          <w:lang w:val="en-GB"/>
        </w:rPr>
      </w:pPr>
      <w:r w:rsidRPr="00094C7E">
        <w:rPr>
          <w:rFonts w:ascii="Arial" w:hAnsi="Arial" w:cs="Arial"/>
          <w:b/>
          <w:bCs/>
          <w:sz w:val="22"/>
          <w:szCs w:val="22"/>
          <w:lang w:val="en-GB"/>
        </w:rPr>
        <w:t>EULEX</w:t>
      </w:r>
    </w:p>
    <w:p w14:paraId="7FE22AEA" w14:textId="77777777" w:rsidR="00766B4B" w:rsidRPr="00094C7E" w:rsidRDefault="00766B4B" w:rsidP="008644CA">
      <w:pPr>
        <w:autoSpaceDE w:val="0"/>
        <w:jc w:val="both"/>
        <w:rPr>
          <w:rFonts w:ascii="Arial" w:hAnsi="Arial" w:cs="Arial"/>
          <w:sz w:val="22"/>
          <w:szCs w:val="22"/>
          <w:lang w:val="en-GB"/>
        </w:rPr>
      </w:pPr>
    </w:p>
    <w:p w14:paraId="22955E00" w14:textId="77777777" w:rsidR="00766B4B" w:rsidRPr="00094C7E" w:rsidRDefault="00766B4B" w:rsidP="008644CA">
      <w:pPr>
        <w:autoSpaceDE w:val="0"/>
        <w:jc w:val="both"/>
        <w:rPr>
          <w:rFonts w:ascii="Arial" w:hAnsi="Arial" w:cs="Arial"/>
          <w:sz w:val="22"/>
          <w:szCs w:val="22"/>
          <w:lang w:val="en-GB"/>
        </w:rPr>
      </w:pPr>
    </w:p>
    <w:p w14:paraId="5743FDBD" w14:textId="77777777" w:rsidR="00766B4B" w:rsidRPr="00094C7E" w:rsidRDefault="00766B4B" w:rsidP="008644CA">
      <w:pPr>
        <w:autoSpaceDE w:val="0"/>
        <w:jc w:val="both"/>
        <w:rPr>
          <w:rFonts w:ascii="Arial" w:hAnsi="Arial" w:cs="Arial"/>
          <w:sz w:val="22"/>
          <w:szCs w:val="22"/>
          <w:lang w:val="en-GB"/>
        </w:rPr>
      </w:pPr>
    </w:p>
    <w:p w14:paraId="666A3065" w14:textId="77777777" w:rsidR="00766B4B" w:rsidRPr="00094C7E" w:rsidRDefault="00766B4B" w:rsidP="00DE62F5">
      <w:pPr>
        <w:autoSpaceDE w:val="0"/>
        <w:jc w:val="both"/>
        <w:rPr>
          <w:rFonts w:ascii="Arial" w:hAnsi="Arial" w:cs="Arial"/>
          <w:sz w:val="22"/>
          <w:szCs w:val="22"/>
          <w:lang w:val="en-GB"/>
        </w:rPr>
      </w:pPr>
      <w:r w:rsidRPr="00094C7E">
        <w:rPr>
          <w:rFonts w:ascii="Arial" w:hAnsi="Arial" w:cs="Arial"/>
          <w:sz w:val="22"/>
          <w:szCs w:val="22"/>
          <w:lang w:val="en-GB"/>
        </w:rPr>
        <w:t xml:space="preserve">The Human Rights Review Panel, sitting on </w:t>
      </w:r>
      <w:r w:rsidR="00CD7B58">
        <w:rPr>
          <w:rFonts w:ascii="Arial" w:hAnsi="Arial" w:cs="Arial"/>
          <w:sz w:val="22"/>
          <w:szCs w:val="22"/>
          <w:lang w:val="en-GB"/>
        </w:rPr>
        <w:t>11 November 2015</w:t>
      </w:r>
      <w:r w:rsidRPr="00094C7E">
        <w:rPr>
          <w:rFonts w:ascii="Arial" w:hAnsi="Arial" w:cs="Arial"/>
          <w:sz w:val="22"/>
          <w:szCs w:val="22"/>
          <w:lang w:val="en-GB"/>
        </w:rPr>
        <w:t>, with the following members present:</w:t>
      </w:r>
    </w:p>
    <w:p w14:paraId="12CF92BF" w14:textId="77777777" w:rsidR="00766B4B" w:rsidRPr="00094C7E" w:rsidRDefault="00766B4B" w:rsidP="00DE62F5">
      <w:pPr>
        <w:autoSpaceDE w:val="0"/>
        <w:jc w:val="both"/>
        <w:rPr>
          <w:rFonts w:ascii="Arial" w:hAnsi="Arial" w:cs="Arial"/>
          <w:sz w:val="22"/>
          <w:szCs w:val="22"/>
          <w:lang w:val="en-GB"/>
        </w:rPr>
      </w:pPr>
    </w:p>
    <w:p w14:paraId="403D6D1F" w14:textId="77777777" w:rsidR="00766B4B" w:rsidRPr="00094C7E" w:rsidRDefault="00766B4B" w:rsidP="00DE62F5">
      <w:pPr>
        <w:autoSpaceDE w:val="0"/>
        <w:jc w:val="both"/>
        <w:rPr>
          <w:rFonts w:ascii="Arial" w:hAnsi="Arial" w:cs="Arial"/>
          <w:sz w:val="22"/>
          <w:szCs w:val="22"/>
          <w:lang w:val="en-GB"/>
        </w:rPr>
      </w:pPr>
      <w:r w:rsidRPr="00094C7E">
        <w:rPr>
          <w:rFonts w:ascii="Arial" w:hAnsi="Arial" w:cs="Arial"/>
          <w:sz w:val="22"/>
          <w:szCs w:val="22"/>
          <w:lang w:val="en-GB"/>
        </w:rPr>
        <w:t>Ms Magda MIERZEWSKA, Presiding Member</w:t>
      </w:r>
    </w:p>
    <w:p w14:paraId="0F901FE6" w14:textId="77777777" w:rsidR="00766B4B" w:rsidRPr="00094C7E" w:rsidRDefault="00766B4B" w:rsidP="00DE62F5">
      <w:pPr>
        <w:autoSpaceDE w:val="0"/>
        <w:jc w:val="both"/>
        <w:rPr>
          <w:rFonts w:ascii="Arial" w:hAnsi="Arial" w:cs="Arial"/>
          <w:sz w:val="22"/>
          <w:szCs w:val="22"/>
          <w:lang w:val="en-GB"/>
        </w:rPr>
      </w:pPr>
      <w:r w:rsidRPr="00094C7E">
        <w:rPr>
          <w:rFonts w:ascii="Arial" w:hAnsi="Arial" w:cs="Arial"/>
          <w:sz w:val="22"/>
          <w:szCs w:val="22"/>
          <w:lang w:val="en-GB"/>
        </w:rPr>
        <w:t xml:space="preserve">Mr </w:t>
      </w:r>
      <w:proofErr w:type="spellStart"/>
      <w:r w:rsidRPr="00094C7E">
        <w:rPr>
          <w:rFonts w:ascii="Arial" w:hAnsi="Arial" w:cs="Arial"/>
          <w:sz w:val="22"/>
          <w:szCs w:val="22"/>
          <w:lang w:val="en-GB"/>
        </w:rPr>
        <w:t>Guénaël</w:t>
      </w:r>
      <w:proofErr w:type="spellEnd"/>
      <w:r w:rsidRPr="00094C7E">
        <w:rPr>
          <w:rFonts w:ascii="Arial" w:hAnsi="Arial" w:cs="Arial"/>
          <w:sz w:val="22"/>
          <w:szCs w:val="22"/>
          <w:lang w:val="en-GB"/>
        </w:rPr>
        <w:t xml:space="preserve"> METTRAUX, Member</w:t>
      </w:r>
    </w:p>
    <w:p w14:paraId="272461AB" w14:textId="77777777" w:rsidR="00766B4B" w:rsidRPr="00094C7E" w:rsidRDefault="00766B4B" w:rsidP="00DE62F5">
      <w:pPr>
        <w:autoSpaceDE w:val="0"/>
        <w:jc w:val="both"/>
        <w:rPr>
          <w:rFonts w:ascii="Arial" w:hAnsi="Arial" w:cs="Arial"/>
          <w:sz w:val="22"/>
          <w:szCs w:val="22"/>
          <w:lang w:val="en-GB"/>
        </w:rPr>
      </w:pPr>
      <w:r w:rsidRPr="00094C7E">
        <w:rPr>
          <w:rFonts w:ascii="Arial" w:hAnsi="Arial" w:cs="Arial"/>
          <w:sz w:val="22"/>
          <w:szCs w:val="22"/>
          <w:lang w:val="en-GB"/>
        </w:rPr>
        <w:t>Ms Katja DOMINIK, Member</w:t>
      </w:r>
    </w:p>
    <w:p w14:paraId="39C3AFEB" w14:textId="77777777" w:rsidR="00766B4B" w:rsidRPr="00094C7E" w:rsidRDefault="00766B4B" w:rsidP="00DE62F5">
      <w:pPr>
        <w:autoSpaceDE w:val="0"/>
        <w:jc w:val="both"/>
        <w:rPr>
          <w:rFonts w:ascii="Arial" w:hAnsi="Arial" w:cs="Arial"/>
          <w:sz w:val="22"/>
          <w:szCs w:val="22"/>
          <w:lang w:val="en-GB"/>
        </w:rPr>
      </w:pPr>
    </w:p>
    <w:p w14:paraId="23409933" w14:textId="77777777" w:rsidR="00766B4B" w:rsidRPr="00094C7E" w:rsidRDefault="00766B4B" w:rsidP="00DE62F5">
      <w:pPr>
        <w:autoSpaceDE w:val="0"/>
        <w:jc w:val="both"/>
        <w:rPr>
          <w:rFonts w:ascii="Arial" w:hAnsi="Arial" w:cs="Arial"/>
          <w:sz w:val="22"/>
          <w:szCs w:val="22"/>
          <w:lang w:val="en-GB"/>
        </w:rPr>
      </w:pPr>
      <w:r w:rsidRPr="00094C7E">
        <w:rPr>
          <w:rFonts w:ascii="Arial" w:hAnsi="Arial" w:cs="Arial"/>
          <w:sz w:val="22"/>
          <w:szCs w:val="22"/>
          <w:lang w:val="en-GB"/>
        </w:rPr>
        <w:t>Assisted by</w:t>
      </w:r>
    </w:p>
    <w:p w14:paraId="7CAC8B57" w14:textId="77777777" w:rsidR="00766B4B" w:rsidRPr="00094C7E" w:rsidRDefault="00766B4B" w:rsidP="00DE62F5">
      <w:pPr>
        <w:autoSpaceDE w:val="0"/>
        <w:jc w:val="both"/>
        <w:rPr>
          <w:rFonts w:ascii="Arial" w:hAnsi="Arial" w:cs="Arial"/>
          <w:sz w:val="22"/>
          <w:szCs w:val="22"/>
          <w:lang w:val="en-GB"/>
        </w:rPr>
      </w:pPr>
      <w:r w:rsidRPr="00094C7E">
        <w:rPr>
          <w:rFonts w:ascii="Arial" w:hAnsi="Arial" w:cs="Arial"/>
          <w:sz w:val="22"/>
          <w:szCs w:val="22"/>
          <w:lang w:val="en-GB"/>
        </w:rPr>
        <w:t>Ms Joanna MARSZALIK, Legal Officer</w:t>
      </w:r>
    </w:p>
    <w:p w14:paraId="026A92DB" w14:textId="77777777" w:rsidR="00766B4B" w:rsidRPr="00094C7E" w:rsidRDefault="00766B4B" w:rsidP="00DE62F5">
      <w:pPr>
        <w:autoSpaceDE w:val="0"/>
        <w:jc w:val="both"/>
        <w:rPr>
          <w:rFonts w:ascii="Arial" w:hAnsi="Arial" w:cs="Arial"/>
          <w:sz w:val="22"/>
          <w:szCs w:val="22"/>
          <w:lang w:val="en-GB"/>
        </w:rPr>
      </w:pPr>
      <w:r w:rsidRPr="00094C7E">
        <w:rPr>
          <w:rFonts w:ascii="Arial" w:hAnsi="Arial" w:cs="Arial"/>
          <w:sz w:val="22"/>
          <w:szCs w:val="22"/>
          <w:lang w:val="en-GB"/>
        </w:rPr>
        <w:t>Mr Paul LANDERS, Legal Officer</w:t>
      </w:r>
    </w:p>
    <w:p w14:paraId="4D907C01" w14:textId="77777777" w:rsidR="00766B4B" w:rsidRPr="00094C7E" w:rsidRDefault="00766B4B" w:rsidP="00DE62F5">
      <w:pPr>
        <w:autoSpaceDE w:val="0"/>
        <w:jc w:val="both"/>
        <w:rPr>
          <w:rFonts w:ascii="Arial" w:hAnsi="Arial" w:cs="Arial"/>
          <w:sz w:val="22"/>
          <w:szCs w:val="22"/>
          <w:lang w:val="en-GB"/>
        </w:rPr>
      </w:pPr>
    </w:p>
    <w:p w14:paraId="3AF1FECB" w14:textId="77777777" w:rsidR="00766B4B" w:rsidRPr="00094C7E" w:rsidRDefault="00766B4B" w:rsidP="00DE62F5">
      <w:pPr>
        <w:autoSpaceDE w:val="0"/>
        <w:jc w:val="both"/>
        <w:rPr>
          <w:rFonts w:ascii="Arial" w:hAnsi="Arial" w:cs="Arial"/>
          <w:sz w:val="22"/>
          <w:szCs w:val="22"/>
          <w:lang w:val="en-GB"/>
        </w:rPr>
      </w:pPr>
      <w:r w:rsidRPr="00094C7E">
        <w:rPr>
          <w:rFonts w:ascii="Arial" w:hAnsi="Arial" w:cs="Arial"/>
          <w:sz w:val="22"/>
          <w:szCs w:val="22"/>
          <w:lang w:val="en-GB"/>
        </w:rPr>
        <w:t>Having considered the aforementioned complaint, introduced pursuant to Council Join Action 2008/124/CFSP of 4 February 2008, the EULEX Accountability Concept of 29 October 2009 on the establishment of the Human Rights Review Panel and the Rules of Procedure of the Panel as last amended on 15 January 2013,</w:t>
      </w:r>
    </w:p>
    <w:p w14:paraId="70C886B6" w14:textId="77777777" w:rsidR="00766B4B" w:rsidRPr="00094C7E" w:rsidRDefault="00766B4B" w:rsidP="00DE62F5">
      <w:pPr>
        <w:autoSpaceDE w:val="0"/>
        <w:jc w:val="both"/>
        <w:rPr>
          <w:rFonts w:ascii="Arial" w:hAnsi="Arial" w:cs="Arial"/>
          <w:sz w:val="22"/>
          <w:szCs w:val="22"/>
          <w:lang w:val="en-GB"/>
        </w:rPr>
      </w:pPr>
    </w:p>
    <w:p w14:paraId="57E4F392" w14:textId="77777777" w:rsidR="00766B4B" w:rsidRPr="00094C7E" w:rsidRDefault="00766B4B" w:rsidP="00DE62F5">
      <w:pPr>
        <w:autoSpaceDE w:val="0"/>
        <w:jc w:val="both"/>
        <w:rPr>
          <w:rFonts w:ascii="Arial" w:hAnsi="Arial" w:cs="Arial"/>
          <w:sz w:val="22"/>
          <w:szCs w:val="22"/>
          <w:lang w:val="en-GB"/>
        </w:rPr>
      </w:pPr>
      <w:r w:rsidRPr="00094C7E">
        <w:rPr>
          <w:rFonts w:ascii="Arial" w:hAnsi="Arial" w:cs="Arial"/>
          <w:sz w:val="22"/>
          <w:szCs w:val="22"/>
          <w:lang w:val="en-GB"/>
        </w:rPr>
        <w:t>Having deliberated, decides as follows:</w:t>
      </w:r>
    </w:p>
    <w:p w14:paraId="056100D5" w14:textId="77777777" w:rsidR="00766B4B" w:rsidRPr="00094C7E" w:rsidRDefault="00766B4B" w:rsidP="00DE62F5">
      <w:pPr>
        <w:rPr>
          <w:sz w:val="22"/>
          <w:szCs w:val="22"/>
          <w:lang w:val="en-GB"/>
        </w:rPr>
      </w:pPr>
    </w:p>
    <w:p w14:paraId="7569A838" w14:textId="77777777" w:rsidR="00766B4B" w:rsidRPr="00094C7E" w:rsidRDefault="00766B4B" w:rsidP="00DE62F5">
      <w:pPr>
        <w:rPr>
          <w:sz w:val="22"/>
          <w:szCs w:val="22"/>
          <w:lang w:val="en-GB"/>
        </w:rPr>
      </w:pPr>
    </w:p>
    <w:p w14:paraId="71675910" w14:textId="77777777" w:rsidR="00766B4B" w:rsidRPr="00094C7E" w:rsidRDefault="00766B4B" w:rsidP="00FA78D8">
      <w:pPr>
        <w:autoSpaceDE w:val="0"/>
        <w:jc w:val="both"/>
        <w:rPr>
          <w:rFonts w:ascii="Arial" w:hAnsi="Arial" w:cs="Arial"/>
          <w:b/>
          <w:bCs/>
          <w:sz w:val="22"/>
          <w:szCs w:val="22"/>
          <w:lang w:val="en-GB"/>
        </w:rPr>
      </w:pPr>
      <w:r w:rsidRPr="00094C7E">
        <w:rPr>
          <w:rFonts w:ascii="Arial" w:hAnsi="Arial" w:cs="Arial"/>
          <w:b/>
          <w:bCs/>
          <w:sz w:val="22"/>
          <w:szCs w:val="22"/>
          <w:lang w:val="en-GB"/>
        </w:rPr>
        <w:t>I.</w:t>
      </w:r>
      <w:r w:rsidRPr="00094C7E">
        <w:rPr>
          <w:rFonts w:ascii="Arial" w:hAnsi="Arial" w:cs="Arial"/>
          <w:b/>
          <w:bCs/>
          <w:sz w:val="22"/>
          <w:szCs w:val="22"/>
          <w:lang w:val="en-GB"/>
        </w:rPr>
        <w:tab/>
        <w:t>DECISION OF THE PANEL OF 22 APRIL 2015</w:t>
      </w:r>
    </w:p>
    <w:p w14:paraId="24D0AA3C" w14:textId="77777777" w:rsidR="00766B4B" w:rsidRPr="00094C7E" w:rsidRDefault="00766B4B" w:rsidP="00DE62F5">
      <w:pPr>
        <w:autoSpaceDE w:val="0"/>
        <w:jc w:val="both"/>
        <w:rPr>
          <w:rFonts w:ascii="Arial" w:hAnsi="Arial" w:cs="Arial"/>
          <w:b/>
          <w:bCs/>
          <w:sz w:val="22"/>
          <w:szCs w:val="22"/>
          <w:lang w:val="en-GB"/>
        </w:rPr>
      </w:pPr>
    </w:p>
    <w:p w14:paraId="741F772B" w14:textId="77777777" w:rsidR="00766B4B" w:rsidRPr="00094C7E" w:rsidRDefault="00766B4B" w:rsidP="00FF6866">
      <w:pPr>
        <w:numPr>
          <w:ilvl w:val="0"/>
          <w:numId w:val="15"/>
        </w:numPr>
        <w:tabs>
          <w:tab w:val="clear" w:pos="720"/>
          <w:tab w:val="num" w:pos="0"/>
        </w:tabs>
        <w:suppressAutoHyphens/>
        <w:autoSpaceDE w:val="0"/>
        <w:ind w:left="0"/>
        <w:jc w:val="both"/>
        <w:rPr>
          <w:rFonts w:ascii="Arial" w:hAnsi="Arial" w:cs="Arial"/>
          <w:sz w:val="22"/>
          <w:szCs w:val="22"/>
          <w:lang w:val="en-GB"/>
        </w:rPr>
      </w:pPr>
      <w:r w:rsidRPr="00094C7E">
        <w:rPr>
          <w:rFonts w:ascii="Arial" w:hAnsi="Arial" w:cs="Arial"/>
          <w:sz w:val="22"/>
          <w:szCs w:val="22"/>
          <w:lang w:val="en-GB"/>
        </w:rPr>
        <w:t>On 22 April 2015, the Panel rendered its decision in relation to the complaint filed by X and 115 other complainants against EULEX and</w:t>
      </w:r>
      <w:r w:rsidRPr="00094C7E">
        <w:rPr>
          <w:rFonts w:ascii="Arial" w:hAnsi="Arial" w:cs="Arial"/>
          <w:iCs/>
          <w:sz w:val="22"/>
          <w:szCs w:val="22"/>
          <w:lang w:val="en-GB"/>
        </w:rPr>
        <w:t xml:space="preserve"> made a number of recommendations to the Head of Mission (HoM) in accordance with Rule 34 of the Rules of Procedure</w:t>
      </w:r>
      <w:r w:rsidR="00A81369">
        <w:rPr>
          <w:rFonts w:ascii="Arial" w:hAnsi="Arial" w:cs="Arial"/>
          <w:iCs/>
          <w:sz w:val="22"/>
          <w:szCs w:val="22"/>
          <w:lang w:val="en-GB"/>
        </w:rPr>
        <w:t>. The decision read</w:t>
      </w:r>
      <w:r w:rsidRPr="00094C7E">
        <w:rPr>
          <w:rFonts w:ascii="Arial" w:hAnsi="Arial" w:cs="Arial"/>
          <w:iCs/>
          <w:sz w:val="22"/>
          <w:szCs w:val="22"/>
          <w:lang w:val="en-GB"/>
        </w:rPr>
        <w:t xml:space="preserve">:  </w:t>
      </w:r>
    </w:p>
    <w:p w14:paraId="762B8F60" w14:textId="77777777" w:rsidR="00766B4B" w:rsidRPr="00094C7E" w:rsidRDefault="00766B4B" w:rsidP="007C668B">
      <w:pPr>
        <w:autoSpaceDE w:val="0"/>
        <w:autoSpaceDN w:val="0"/>
        <w:adjustRightInd w:val="0"/>
        <w:jc w:val="both"/>
        <w:rPr>
          <w:rFonts w:ascii="Arial" w:hAnsi="Arial" w:cs="Arial"/>
          <w:sz w:val="20"/>
          <w:szCs w:val="20"/>
          <w:lang w:val="en-GB"/>
        </w:rPr>
      </w:pPr>
    </w:p>
    <w:p w14:paraId="00283F4E" w14:textId="77777777" w:rsidR="00766B4B" w:rsidRPr="00094C7E" w:rsidRDefault="00766B4B" w:rsidP="004C3355">
      <w:pPr>
        <w:autoSpaceDE w:val="0"/>
        <w:autoSpaceDN w:val="0"/>
        <w:adjustRightInd w:val="0"/>
        <w:ind w:left="1440"/>
        <w:jc w:val="both"/>
        <w:rPr>
          <w:rFonts w:ascii="Arial" w:hAnsi="Arial" w:cs="Arial"/>
          <w:sz w:val="20"/>
          <w:szCs w:val="20"/>
          <w:lang w:val="en-GB"/>
        </w:rPr>
      </w:pPr>
    </w:p>
    <w:p w14:paraId="19558949" w14:textId="77777777" w:rsidR="0093634D" w:rsidRDefault="0093634D" w:rsidP="00FF6866">
      <w:pPr>
        <w:autoSpaceDE w:val="0"/>
        <w:autoSpaceDN w:val="0"/>
        <w:adjustRightInd w:val="0"/>
        <w:ind w:left="1440"/>
        <w:jc w:val="both"/>
        <w:rPr>
          <w:rFonts w:ascii="Arial" w:hAnsi="Arial" w:cs="Arial"/>
          <w:sz w:val="20"/>
          <w:szCs w:val="20"/>
          <w:lang w:val="en-GB"/>
        </w:rPr>
      </w:pPr>
    </w:p>
    <w:p w14:paraId="01807B48" w14:textId="77777777" w:rsidR="0093634D" w:rsidRDefault="0093634D" w:rsidP="00FF6866">
      <w:pPr>
        <w:autoSpaceDE w:val="0"/>
        <w:autoSpaceDN w:val="0"/>
        <w:adjustRightInd w:val="0"/>
        <w:ind w:left="1440"/>
        <w:jc w:val="both"/>
        <w:rPr>
          <w:rFonts w:ascii="Arial" w:hAnsi="Arial" w:cs="Arial"/>
          <w:sz w:val="20"/>
          <w:szCs w:val="20"/>
          <w:lang w:val="en-GB"/>
        </w:rPr>
      </w:pPr>
    </w:p>
    <w:p w14:paraId="23113654" w14:textId="77777777" w:rsidR="00766B4B" w:rsidRPr="00094C7E" w:rsidRDefault="00DE7418" w:rsidP="00FF6866">
      <w:pPr>
        <w:autoSpaceDE w:val="0"/>
        <w:autoSpaceDN w:val="0"/>
        <w:adjustRightInd w:val="0"/>
        <w:ind w:left="1440"/>
        <w:jc w:val="both"/>
        <w:rPr>
          <w:rFonts w:ascii="Arial" w:hAnsi="Arial" w:cs="Arial"/>
          <w:b/>
          <w:sz w:val="20"/>
          <w:szCs w:val="20"/>
          <w:lang w:val="en-GB"/>
        </w:rPr>
      </w:pPr>
      <w:r>
        <w:rPr>
          <w:rFonts w:ascii="Arial" w:hAnsi="Arial" w:cs="Arial"/>
          <w:sz w:val="20"/>
          <w:szCs w:val="20"/>
          <w:lang w:val="en-GB"/>
        </w:rPr>
        <w:lastRenderedPageBreak/>
        <w:t>”</w:t>
      </w:r>
      <w:r w:rsidR="00766B4B" w:rsidRPr="00094C7E">
        <w:rPr>
          <w:rFonts w:ascii="Arial" w:hAnsi="Arial" w:cs="Arial"/>
          <w:sz w:val="20"/>
          <w:szCs w:val="20"/>
          <w:lang w:val="en-GB"/>
        </w:rPr>
        <w:t>THE PANEL, UNANIMOUSLY</w:t>
      </w:r>
      <w:r w:rsidR="00766B4B" w:rsidRPr="00094C7E">
        <w:rPr>
          <w:rFonts w:ascii="Arial" w:hAnsi="Arial" w:cs="Arial"/>
          <w:b/>
          <w:sz w:val="20"/>
          <w:szCs w:val="20"/>
          <w:lang w:val="en-GB"/>
        </w:rPr>
        <w:t>,</w:t>
      </w:r>
    </w:p>
    <w:p w14:paraId="665E07AF" w14:textId="77777777" w:rsidR="00766B4B" w:rsidRPr="00094C7E" w:rsidRDefault="00766B4B" w:rsidP="00FF6866">
      <w:pPr>
        <w:autoSpaceDE w:val="0"/>
        <w:autoSpaceDN w:val="0"/>
        <w:adjustRightInd w:val="0"/>
        <w:ind w:left="1440"/>
        <w:jc w:val="both"/>
        <w:rPr>
          <w:rFonts w:ascii="Arial" w:hAnsi="Arial" w:cs="Arial"/>
          <w:sz w:val="20"/>
          <w:szCs w:val="20"/>
          <w:lang w:val="en-GB"/>
        </w:rPr>
      </w:pPr>
    </w:p>
    <w:p w14:paraId="4059C4A1" w14:textId="77777777" w:rsidR="00766B4B" w:rsidRPr="00094C7E" w:rsidRDefault="00766B4B" w:rsidP="00FF6866">
      <w:pPr>
        <w:numPr>
          <w:ilvl w:val="0"/>
          <w:numId w:val="28"/>
        </w:numPr>
        <w:tabs>
          <w:tab w:val="clear" w:pos="1440"/>
          <w:tab w:val="num" w:pos="720"/>
        </w:tabs>
        <w:autoSpaceDE w:val="0"/>
        <w:autoSpaceDN w:val="0"/>
        <w:adjustRightInd w:val="0"/>
        <w:jc w:val="both"/>
        <w:rPr>
          <w:rFonts w:ascii="Arial" w:hAnsi="Arial" w:cs="Arial"/>
          <w:bCs/>
          <w:sz w:val="20"/>
          <w:szCs w:val="20"/>
          <w:lang w:val="en-GB"/>
        </w:rPr>
      </w:pPr>
      <w:r w:rsidRPr="00094C7E">
        <w:rPr>
          <w:rFonts w:ascii="Arial" w:hAnsi="Arial" w:cs="Arial"/>
          <w:bCs/>
          <w:i/>
          <w:sz w:val="20"/>
          <w:szCs w:val="20"/>
          <w:lang w:val="en-GB"/>
        </w:rPr>
        <w:t>Holds</w:t>
      </w:r>
      <w:r w:rsidRPr="00094C7E">
        <w:rPr>
          <w:rFonts w:ascii="Arial" w:hAnsi="Arial" w:cs="Arial"/>
          <w:bCs/>
          <w:sz w:val="20"/>
          <w:szCs w:val="20"/>
          <w:lang w:val="en-GB"/>
        </w:rPr>
        <w:t xml:space="preserve"> that there has been a violation of Article 13 of the Convention [of Human Rights and Fundamental Freedoms];</w:t>
      </w:r>
    </w:p>
    <w:p w14:paraId="4ED91839" w14:textId="77777777" w:rsidR="00766B4B" w:rsidRPr="00094C7E" w:rsidRDefault="00766B4B" w:rsidP="00FF6866">
      <w:pPr>
        <w:autoSpaceDE w:val="0"/>
        <w:autoSpaceDN w:val="0"/>
        <w:adjustRightInd w:val="0"/>
        <w:ind w:left="1440"/>
        <w:jc w:val="both"/>
        <w:rPr>
          <w:rFonts w:ascii="Arial" w:hAnsi="Arial" w:cs="Arial"/>
          <w:bCs/>
          <w:sz w:val="20"/>
          <w:szCs w:val="20"/>
          <w:lang w:val="en-GB"/>
        </w:rPr>
      </w:pPr>
    </w:p>
    <w:p w14:paraId="79832456" w14:textId="77777777" w:rsidR="00766B4B" w:rsidRPr="00094C7E" w:rsidRDefault="00766B4B" w:rsidP="00FF6866">
      <w:pPr>
        <w:numPr>
          <w:ilvl w:val="0"/>
          <w:numId w:val="28"/>
        </w:numPr>
        <w:tabs>
          <w:tab w:val="clear" w:pos="1440"/>
          <w:tab w:val="num" w:pos="720"/>
        </w:tabs>
        <w:autoSpaceDE w:val="0"/>
        <w:autoSpaceDN w:val="0"/>
        <w:adjustRightInd w:val="0"/>
        <w:jc w:val="both"/>
        <w:rPr>
          <w:rFonts w:ascii="Arial" w:hAnsi="Arial" w:cs="Arial"/>
          <w:bCs/>
          <w:sz w:val="20"/>
          <w:szCs w:val="20"/>
          <w:lang w:val="en-GB"/>
        </w:rPr>
      </w:pPr>
      <w:r w:rsidRPr="00094C7E">
        <w:rPr>
          <w:rFonts w:ascii="Arial" w:hAnsi="Arial" w:cs="Arial"/>
          <w:bCs/>
          <w:i/>
          <w:sz w:val="20"/>
          <w:szCs w:val="20"/>
          <w:lang w:val="en-GB"/>
        </w:rPr>
        <w:t>Holds</w:t>
      </w:r>
      <w:r w:rsidRPr="00094C7E">
        <w:rPr>
          <w:rFonts w:ascii="Arial" w:hAnsi="Arial" w:cs="Arial"/>
          <w:bCs/>
          <w:sz w:val="20"/>
          <w:szCs w:val="20"/>
          <w:lang w:val="en-GB"/>
        </w:rPr>
        <w:t xml:space="preserve"> that that it is not necessary to consider the complaint under Article 6 of the Convention. </w:t>
      </w:r>
    </w:p>
    <w:p w14:paraId="3715EB15" w14:textId="77777777" w:rsidR="00766B4B" w:rsidRPr="00094C7E" w:rsidRDefault="00766B4B" w:rsidP="00FF6866">
      <w:pPr>
        <w:autoSpaceDE w:val="0"/>
        <w:autoSpaceDN w:val="0"/>
        <w:adjustRightInd w:val="0"/>
        <w:ind w:left="1440"/>
        <w:jc w:val="both"/>
        <w:rPr>
          <w:rFonts w:ascii="Arial" w:hAnsi="Arial" w:cs="Arial"/>
          <w:bCs/>
          <w:sz w:val="20"/>
          <w:szCs w:val="20"/>
          <w:lang w:val="en-GB"/>
        </w:rPr>
      </w:pPr>
    </w:p>
    <w:p w14:paraId="5EE85793" w14:textId="77777777" w:rsidR="00766B4B" w:rsidRPr="00094C7E" w:rsidRDefault="00766B4B" w:rsidP="00FF6866">
      <w:pPr>
        <w:numPr>
          <w:ilvl w:val="0"/>
          <w:numId w:val="28"/>
        </w:numPr>
        <w:tabs>
          <w:tab w:val="clear" w:pos="1440"/>
          <w:tab w:val="num" w:pos="720"/>
        </w:tabs>
        <w:autoSpaceDE w:val="0"/>
        <w:autoSpaceDN w:val="0"/>
        <w:adjustRightInd w:val="0"/>
        <w:jc w:val="both"/>
        <w:rPr>
          <w:rFonts w:ascii="Arial" w:hAnsi="Arial" w:cs="Arial"/>
          <w:bCs/>
          <w:sz w:val="20"/>
          <w:szCs w:val="20"/>
          <w:lang w:val="en-GB"/>
        </w:rPr>
      </w:pPr>
      <w:r w:rsidRPr="00094C7E">
        <w:rPr>
          <w:rFonts w:ascii="Arial" w:hAnsi="Arial" w:cs="Arial"/>
          <w:bCs/>
          <w:i/>
          <w:iCs/>
          <w:sz w:val="20"/>
          <w:szCs w:val="20"/>
          <w:lang w:val="en-GB"/>
        </w:rPr>
        <w:t xml:space="preserve">Finds </w:t>
      </w:r>
      <w:r w:rsidRPr="00094C7E">
        <w:rPr>
          <w:rFonts w:ascii="Arial" w:hAnsi="Arial" w:cs="Arial"/>
          <w:bCs/>
          <w:sz w:val="20"/>
          <w:szCs w:val="20"/>
          <w:lang w:val="en-GB"/>
        </w:rPr>
        <w:t>it appropriate, in the light of its above findings of fact and law, to make the following recommendations to the Head of Mission under Rule 34 of its Rules of Procedure:</w:t>
      </w:r>
    </w:p>
    <w:p w14:paraId="12747F2B" w14:textId="77777777" w:rsidR="00766B4B" w:rsidRPr="00094C7E" w:rsidRDefault="00766B4B" w:rsidP="00FF6866">
      <w:pPr>
        <w:autoSpaceDE w:val="0"/>
        <w:autoSpaceDN w:val="0"/>
        <w:adjustRightInd w:val="0"/>
        <w:ind w:left="1440"/>
        <w:jc w:val="both"/>
        <w:rPr>
          <w:rFonts w:ascii="Arial" w:hAnsi="Arial" w:cs="Arial"/>
          <w:bCs/>
          <w:sz w:val="20"/>
          <w:szCs w:val="20"/>
          <w:lang w:val="en-GB"/>
        </w:rPr>
      </w:pPr>
    </w:p>
    <w:p w14:paraId="1A3F4327" w14:textId="77777777" w:rsidR="00766B4B" w:rsidRPr="00094C7E" w:rsidRDefault="00766B4B" w:rsidP="00FF6866">
      <w:pPr>
        <w:numPr>
          <w:ilvl w:val="0"/>
          <w:numId w:val="29"/>
        </w:numPr>
        <w:autoSpaceDE w:val="0"/>
        <w:autoSpaceDN w:val="0"/>
        <w:adjustRightInd w:val="0"/>
        <w:jc w:val="both"/>
        <w:rPr>
          <w:rFonts w:ascii="Arial" w:hAnsi="Arial" w:cs="Arial"/>
          <w:bCs/>
          <w:sz w:val="20"/>
          <w:szCs w:val="20"/>
          <w:lang w:val="en-GB"/>
        </w:rPr>
      </w:pPr>
      <w:r w:rsidRPr="00094C7E">
        <w:rPr>
          <w:rFonts w:ascii="Arial" w:hAnsi="Arial" w:cs="Arial"/>
          <w:bCs/>
          <w:sz w:val="20"/>
          <w:szCs w:val="20"/>
          <w:lang w:val="en-GB"/>
        </w:rPr>
        <w:t xml:space="preserve">The HoM should instruct competent EULEX officials to make enquiries with Kosovo authorities whether an investigation in this matter is ongoing and, if so, at what stage of the process the matter stands. The HoM should inform the Panel of the result of this enquiry. </w:t>
      </w:r>
    </w:p>
    <w:p w14:paraId="0800014B" w14:textId="77777777" w:rsidR="00766B4B" w:rsidRPr="00094C7E" w:rsidRDefault="00766B4B" w:rsidP="00FF6866">
      <w:pPr>
        <w:autoSpaceDE w:val="0"/>
        <w:autoSpaceDN w:val="0"/>
        <w:adjustRightInd w:val="0"/>
        <w:ind w:left="1440"/>
        <w:jc w:val="both"/>
        <w:rPr>
          <w:rFonts w:ascii="Arial" w:hAnsi="Arial" w:cs="Arial"/>
          <w:bCs/>
          <w:sz w:val="20"/>
          <w:szCs w:val="20"/>
          <w:lang w:val="en-GB"/>
        </w:rPr>
      </w:pPr>
    </w:p>
    <w:p w14:paraId="033E50B9" w14:textId="77777777" w:rsidR="00766B4B" w:rsidRPr="00094C7E" w:rsidRDefault="00766B4B" w:rsidP="00FF6866">
      <w:pPr>
        <w:numPr>
          <w:ilvl w:val="0"/>
          <w:numId w:val="29"/>
        </w:numPr>
        <w:autoSpaceDE w:val="0"/>
        <w:autoSpaceDN w:val="0"/>
        <w:adjustRightInd w:val="0"/>
        <w:jc w:val="both"/>
        <w:rPr>
          <w:rFonts w:ascii="Arial" w:hAnsi="Arial" w:cs="Arial"/>
          <w:bCs/>
          <w:sz w:val="20"/>
          <w:szCs w:val="20"/>
          <w:lang w:val="en-GB"/>
        </w:rPr>
      </w:pPr>
      <w:r w:rsidRPr="00094C7E">
        <w:rPr>
          <w:rFonts w:ascii="Arial" w:hAnsi="Arial" w:cs="Arial"/>
          <w:bCs/>
          <w:sz w:val="20"/>
          <w:szCs w:val="20"/>
          <w:lang w:val="en-GB"/>
        </w:rPr>
        <w:t>Having received that information, the HoM should instruct EULEX Prosecutors to consider whether to take over the responsibility of this case pursuant to Article 7(A) of the Law No. 04/L-273 taking into account all relevant circumstances, as highlighted above, in particular the need for the Mission to guarantee the effective protection of the complainants’ rights. The HoM should inform the Panel of the Prosecutor’s decision in that regard</w:t>
      </w:r>
      <w:r>
        <w:rPr>
          <w:rFonts w:ascii="Arial" w:hAnsi="Arial" w:cs="Arial"/>
          <w:bCs/>
          <w:sz w:val="20"/>
          <w:szCs w:val="20"/>
          <w:lang w:val="en-GB"/>
        </w:rPr>
        <w:t>.</w:t>
      </w:r>
    </w:p>
    <w:p w14:paraId="08AB7EB6" w14:textId="77777777" w:rsidR="00766B4B" w:rsidRPr="00094C7E" w:rsidRDefault="00766B4B" w:rsidP="00FF6866">
      <w:pPr>
        <w:autoSpaceDE w:val="0"/>
        <w:autoSpaceDN w:val="0"/>
        <w:adjustRightInd w:val="0"/>
        <w:ind w:left="1440"/>
        <w:jc w:val="both"/>
        <w:rPr>
          <w:rFonts w:ascii="Arial" w:hAnsi="Arial" w:cs="Arial"/>
          <w:bCs/>
          <w:sz w:val="20"/>
          <w:szCs w:val="20"/>
          <w:lang w:val="en-GB"/>
        </w:rPr>
      </w:pPr>
    </w:p>
    <w:p w14:paraId="3628B3C2" w14:textId="77777777" w:rsidR="00766B4B" w:rsidRPr="00094C7E" w:rsidRDefault="00766B4B" w:rsidP="00FF6866">
      <w:pPr>
        <w:autoSpaceDE w:val="0"/>
        <w:autoSpaceDN w:val="0"/>
        <w:adjustRightInd w:val="0"/>
        <w:jc w:val="both"/>
        <w:rPr>
          <w:rFonts w:ascii="Arial" w:hAnsi="Arial" w:cs="Arial"/>
          <w:bCs/>
          <w:sz w:val="20"/>
          <w:szCs w:val="20"/>
          <w:lang w:val="en-GB"/>
        </w:rPr>
      </w:pPr>
      <w:r w:rsidRPr="00094C7E">
        <w:rPr>
          <w:rFonts w:ascii="Arial" w:hAnsi="Arial" w:cs="Arial"/>
          <w:bCs/>
          <w:sz w:val="20"/>
          <w:szCs w:val="20"/>
          <w:lang w:val="en-GB"/>
        </w:rPr>
        <w:t>The Panel respectfully asks the HoM to provide the Panel with the requested information no later than 15 June 2015.</w:t>
      </w:r>
      <w:r w:rsidR="00DE7418">
        <w:rPr>
          <w:rFonts w:ascii="Arial" w:hAnsi="Arial" w:cs="Arial"/>
          <w:bCs/>
          <w:sz w:val="20"/>
          <w:szCs w:val="20"/>
          <w:lang w:val="en-GB"/>
        </w:rPr>
        <w:t>”</w:t>
      </w:r>
    </w:p>
    <w:p w14:paraId="5284E751" w14:textId="77777777" w:rsidR="00766B4B" w:rsidRPr="00094C7E" w:rsidRDefault="00766B4B" w:rsidP="004C3355">
      <w:pPr>
        <w:autoSpaceDE w:val="0"/>
        <w:autoSpaceDN w:val="0"/>
        <w:adjustRightInd w:val="0"/>
        <w:ind w:left="1440"/>
        <w:jc w:val="both"/>
        <w:rPr>
          <w:rFonts w:ascii="Arial" w:hAnsi="Arial" w:cs="Arial"/>
          <w:sz w:val="20"/>
          <w:szCs w:val="20"/>
          <w:lang w:val="en-GB"/>
        </w:rPr>
      </w:pPr>
    </w:p>
    <w:p w14:paraId="4FAAF4C7" w14:textId="77777777" w:rsidR="00A81369" w:rsidRPr="00CD7B58" w:rsidRDefault="00A81369" w:rsidP="00817E88">
      <w:pPr>
        <w:autoSpaceDE w:val="0"/>
        <w:autoSpaceDN w:val="0"/>
        <w:adjustRightInd w:val="0"/>
        <w:jc w:val="both"/>
        <w:rPr>
          <w:rFonts w:ascii="Arial" w:hAnsi="Arial" w:cs="Arial"/>
          <w:b/>
          <w:bCs/>
          <w:sz w:val="22"/>
          <w:szCs w:val="22"/>
          <w:lang w:val="en-GB"/>
        </w:rPr>
      </w:pPr>
    </w:p>
    <w:p w14:paraId="6C7D54C6" w14:textId="3BDEFE6F" w:rsidR="00817E88" w:rsidRPr="00817E88" w:rsidRDefault="00817E88" w:rsidP="00A22E2E">
      <w:pPr>
        <w:numPr>
          <w:ilvl w:val="0"/>
          <w:numId w:val="15"/>
        </w:numPr>
        <w:tabs>
          <w:tab w:val="clear" w:pos="720"/>
          <w:tab w:val="num" w:pos="0"/>
        </w:tabs>
        <w:autoSpaceDE w:val="0"/>
        <w:autoSpaceDN w:val="0"/>
        <w:adjustRightInd w:val="0"/>
        <w:ind w:left="0" w:hanging="709"/>
        <w:jc w:val="both"/>
        <w:rPr>
          <w:rFonts w:ascii="Arial" w:hAnsi="Arial" w:cs="Arial"/>
          <w:b/>
          <w:bCs/>
          <w:sz w:val="22"/>
          <w:szCs w:val="22"/>
          <w:lang w:val="en-GB"/>
        </w:rPr>
      </w:pPr>
      <w:r w:rsidRPr="00817E88">
        <w:rPr>
          <w:rFonts w:ascii="Arial" w:hAnsi="Arial" w:cs="Arial"/>
          <w:bCs/>
          <w:sz w:val="22"/>
          <w:szCs w:val="22"/>
          <w:lang w:val="en-GB" w:eastAsia="en-GB"/>
        </w:rPr>
        <w:t>The Panel recalls that</w:t>
      </w:r>
      <w:r w:rsidRPr="00817E88">
        <w:rPr>
          <w:rFonts w:ascii="Arial" w:hAnsi="Arial" w:cs="Arial"/>
          <w:sz w:val="22"/>
          <w:szCs w:val="22"/>
          <w:lang w:eastAsia="en-GB"/>
        </w:rPr>
        <w:t xml:space="preserve"> the Basic Prosecution Office in </w:t>
      </w:r>
      <w:proofErr w:type="spellStart"/>
      <w:r w:rsidRPr="00817E88">
        <w:rPr>
          <w:rFonts w:ascii="Arial" w:hAnsi="Arial" w:cs="Arial"/>
          <w:sz w:val="22"/>
          <w:szCs w:val="22"/>
          <w:lang w:eastAsia="en-GB"/>
        </w:rPr>
        <w:t>Mitrovica</w:t>
      </w:r>
      <w:proofErr w:type="spellEnd"/>
      <w:r w:rsidRPr="00817E88">
        <w:rPr>
          <w:rFonts w:ascii="Arial" w:hAnsi="Arial" w:cs="Arial"/>
          <w:sz w:val="22"/>
          <w:szCs w:val="22"/>
          <w:lang w:eastAsia="en-GB"/>
        </w:rPr>
        <w:t xml:space="preserve"> registered a complaint</w:t>
      </w:r>
      <w:r w:rsidR="00DE7418">
        <w:rPr>
          <w:rFonts w:ascii="Arial" w:hAnsi="Arial" w:cs="Arial"/>
          <w:sz w:val="22"/>
          <w:szCs w:val="22"/>
          <w:lang w:eastAsia="en-GB"/>
        </w:rPr>
        <w:t xml:space="preserve"> about a criminal offence having been committed</w:t>
      </w:r>
      <w:r w:rsidRPr="00817E88">
        <w:rPr>
          <w:rFonts w:ascii="Arial" w:hAnsi="Arial" w:cs="Arial"/>
          <w:sz w:val="22"/>
          <w:szCs w:val="22"/>
          <w:lang w:eastAsia="en-GB"/>
        </w:rPr>
        <w:t>, lodged by the complainants’ representative</w:t>
      </w:r>
      <w:r w:rsidR="00DE7418">
        <w:rPr>
          <w:rFonts w:ascii="Arial" w:hAnsi="Arial" w:cs="Arial"/>
          <w:sz w:val="22"/>
          <w:szCs w:val="22"/>
          <w:lang w:eastAsia="en-GB"/>
        </w:rPr>
        <w:t>,</w:t>
      </w:r>
      <w:r w:rsidRPr="00817E88">
        <w:rPr>
          <w:rFonts w:ascii="Arial" w:hAnsi="Arial" w:cs="Arial"/>
          <w:sz w:val="22"/>
          <w:szCs w:val="22"/>
          <w:lang w:eastAsia="en-GB"/>
        </w:rPr>
        <w:t xml:space="preserve"> on 21 November 2013. Initially, EULEX assigned a prosecutor to deal with it; </w:t>
      </w:r>
      <w:r w:rsidR="00DE7418">
        <w:rPr>
          <w:rFonts w:ascii="Arial" w:hAnsi="Arial" w:cs="Arial"/>
          <w:sz w:val="22"/>
          <w:szCs w:val="22"/>
          <w:lang w:eastAsia="en-GB"/>
        </w:rPr>
        <w:t xml:space="preserve">subsequently </w:t>
      </w:r>
      <w:r w:rsidRPr="00817E88">
        <w:rPr>
          <w:rFonts w:ascii="Arial" w:hAnsi="Arial" w:cs="Arial"/>
          <w:sz w:val="22"/>
          <w:szCs w:val="22"/>
          <w:lang w:eastAsia="en-GB"/>
        </w:rPr>
        <w:t xml:space="preserve">a mixed team of EULEX and Kosovo </w:t>
      </w:r>
      <w:r w:rsidR="00474888">
        <w:rPr>
          <w:rFonts w:ascii="Arial" w:hAnsi="Arial" w:cs="Arial"/>
          <w:sz w:val="22"/>
          <w:szCs w:val="22"/>
          <w:lang w:eastAsia="en-GB"/>
        </w:rPr>
        <w:t>P</w:t>
      </w:r>
      <w:r w:rsidRPr="00817E88">
        <w:rPr>
          <w:rFonts w:ascii="Arial" w:hAnsi="Arial" w:cs="Arial"/>
          <w:sz w:val="22"/>
          <w:szCs w:val="22"/>
          <w:lang w:eastAsia="en-GB"/>
        </w:rPr>
        <w:t xml:space="preserve">rosecutors was assigned to the case. </w:t>
      </w:r>
      <w:r w:rsidR="00DE7418">
        <w:rPr>
          <w:rFonts w:ascii="Arial" w:hAnsi="Arial" w:cs="Arial"/>
          <w:sz w:val="22"/>
          <w:szCs w:val="22"/>
          <w:lang w:eastAsia="en-GB"/>
        </w:rPr>
        <w:t xml:space="preserve">  </w:t>
      </w:r>
      <w:r w:rsidRPr="00817E88">
        <w:rPr>
          <w:rFonts w:ascii="Arial" w:hAnsi="Arial" w:cs="Arial"/>
          <w:sz w:val="22"/>
          <w:szCs w:val="22"/>
          <w:lang w:eastAsia="en-GB"/>
        </w:rPr>
        <w:t>On 30 May 2014</w:t>
      </w:r>
      <w:r w:rsidR="005C27DB">
        <w:rPr>
          <w:rFonts w:ascii="Arial" w:hAnsi="Arial" w:cs="Arial"/>
          <w:sz w:val="22"/>
          <w:szCs w:val="22"/>
          <w:lang w:eastAsia="en-GB"/>
        </w:rPr>
        <w:t>,</w:t>
      </w:r>
      <w:r w:rsidRPr="00817E88">
        <w:rPr>
          <w:rFonts w:ascii="Arial" w:hAnsi="Arial" w:cs="Arial"/>
          <w:sz w:val="22"/>
          <w:szCs w:val="22"/>
          <w:lang w:eastAsia="en-GB"/>
        </w:rPr>
        <w:t xml:space="preserve"> the Law on amending and supplementing the laws related to the mandate of the European Union Rule of Law Mission in the Republic in Kosovo came into force with retroactive effect from 15 April 2014. Pursuant to its Article 1. A (1) </w:t>
      </w:r>
      <w:r w:rsidR="00474888">
        <w:rPr>
          <w:rFonts w:ascii="Arial" w:hAnsi="Arial" w:cs="Arial"/>
          <w:sz w:val="22"/>
          <w:szCs w:val="22"/>
          <w:lang w:eastAsia="en-GB"/>
        </w:rPr>
        <w:t xml:space="preserve">the </w:t>
      </w:r>
      <w:r w:rsidRPr="00817E88">
        <w:rPr>
          <w:rFonts w:ascii="Arial" w:hAnsi="Arial" w:cs="Arial"/>
          <w:sz w:val="22"/>
          <w:szCs w:val="22"/>
          <w:lang w:eastAsia="en-GB"/>
        </w:rPr>
        <w:t xml:space="preserve">EULEX prosecutors have the authority to conduct criminal investigations </w:t>
      </w:r>
      <w:r w:rsidR="005C27DB">
        <w:rPr>
          <w:rFonts w:ascii="Arial" w:hAnsi="Arial" w:cs="Arial"/>
          <w:sz w:val="22"/>
          <w:szCs w:val="22"/>
          <w:lang w:eastAsia="en-GB"/>
        </w:rPr>
        <w:t xml:space="preserve">in principle </w:t>
      </w:r>
      <w:r w:rsidRPr="00817E88">
        <w:rPr>
          <w:rFonts w:ascii="Arial" w:hAnsi="Arial" w:cs="Arial"/>
          <w:sz w:val="22"/>
          <w:szCs w:val="22"/>
          <w:lang w:eastAsia="en-GB"/>
        </w:rPr>
        <w:t>only in cases for which the decision to initiate investigation has been filed before 15 April 2014. In the present case an investigation was initiated on 15 April 2014 precisely</w:t>
      </w:r>
      <w:r w:rsidR="00DE7418">
        <w:rPr>
          <w:rFonts w:ascii="Arial" w:hAnsi="Arial" w:cs="Arial"/>
          <w:sz w:val="22"/>
          <w:szCs w:val="22"/>
          <w:lang w:eastAsia="en-GB"/>
        </w:rPr>
        <w:t xml:space="preserve">. </w:t>
      </w:r>
      <w:r w:rsidRPr="00817E88">
        <w:rPr>
          <w:rFonts w:ascii="Arial" w:hAnsi="Arial" w:cs="Arial"/>
          <w:sz w:val="22"/>
          <w:szCs w:val="22"/>
          <w:lang w:eastAsia="en-GB"/>
        </w:rPr>
        <w:t>The case therefore could not be regarded as an ongoing case within the meaning of this provision</w:t>
      </w:r>
      <w:r w:rsidR="00DE7418">
        <w:rPr>
          <w:rFonts w:ascii="Arial" w:hAnsi="Arial" w:cs="Arial"/>
          <w:sz w:val="22"/>
          <w:szCs w:val="22"/>
          <w:lang w:eastAsia="en-GB"/>
        </w:rPr>
        <w:t xml:space="preserve"> and the investigation could not be conducted by </w:t>
      </w:r>
      <w:r w:rsidR="00474888">
        <w:rPr>
          <w:rFonts w:ascii="Arial" w:hAnsi="Arial" w:cs="Arial"/>
          <w:sz w:val="22"/>
          <w:szCs w:val="22"/>
          <w:lang w:eastAsia="en-GB"/>
        </w:rPr>
        <w:t xml:space="preserve">the </w:t>
      </w:r>
      <w:r w:rsidR="00DE7418">
        <w:rPr>
          <w:rFonts w:ascii="Arial" w:hAnsi="Arial" w:cs="Arial"/>
          <w:sz w:val="22"/>
          <w:szCs w:val="22"/>
          <w:lang w:eastAsia="en-GB"/>
        </w:rPr>
        <w:t xml:space="preserve">EULEX </w:t>
      </w:r>
      <w:r w:rsidR="00474888">
        <w:rPr>
          <w:rFonts w:ascii="Arial" w:hAnsi="Arial" w:cs="Arial"/>
          <w:sz w:val="22"/>
          <w:szCs w:val="22"/>
          <w:lang w:eastAsia="en-GB"/>
        </w:rPr>
        <w:t>P</w:t>
      </w:r>
      <w:r w:rsidR="00DE7418">
        <w:rPr>
          <w:rFonts w:ascii="Arial" w:hAnsi="Arial" w:cs="Arial"/>
          <w:sz w:val="22"/>
          <w:szCs w:val="22"/>
          <w:lang w:eastAsia="en-GB"/>
        </w:rPr>
        <w:t>rosecutors</w:t>
      </w:r>
      <w:r w:rsidRPr="00817E88">
        <w:rPr>
          <w:rFonts w:ascii="Arial" w:hAnsi="Arial" w:cs="Arial"/>
          <w:sz w:val="22"/>
          <w:szCs w:val="22"/>
          <w:lang w:eastAsia="en-GB"/>
        </w:rPr>
        <w:t>.</w:t>
      </w:r>
      <w:r w:rsidRPr="00817E88">
        <w:rPr>
          <w:rFonts w:ascii="Arial" w:hAnsi="Arial" w:cs="Arial"/>
          <w:b/>
          <w:sz w:val="22"/>
          <w:szCs w:val="22"/>
          <w:lang w:eastAsia="en-GB"/>
        </w:rPr>
        <w:t xml:space="preserve"> </w:t>
      </w:r>
      <w:r w:rsidRPr="00817E88">
        <w:rPr>
          <w:rFonts w:ascii="Arial" w:hAnsi="Arial" w:cs="Arial"/>
          <w:sz w:val="22"/>
          <w:szCs w:val="22"/>
          <w:lang w:eastAsia="en-GB"/>
        </w:rPr>
        <w:t xml:space="preserve">Consequently, the investigation was taken over by the Kosovo prosecutors of the Basic Prosecutors Office in </w:t>
      </w:r>
      <w:proofErr w:type="spellStart"/>
      <w:r w:rsidRPr="00817E88">
        <w:rPr>
          <w:rFonts w:ascii="Arial" w:hAnsi="Arial" w:cs="Arial"/>
          <w:sz w:val="22"/>
          <w:szCs w:val="22"/>
          <w:lang w:eastAsia="en-GB"/>
        </w:rPr>
        <w:t>Mitrovica</w:t>
      </w:r>
      <w:proofErr w:type="spellEnd"/>
      <w:r w:rsidRPr="00817E88">
        <w:rPr>
          <w:rFonts w:ascii="Arial" w:hAnsi="Arial" w:cs="Arial"/>
          <w:sz w:val="22"/>
          <w:szCs w:val="22"/>
          <w:lang w:eastAsia="en-GB"/>
        </w:rPr>
        <w:t>.</w:t>
      </w:r>
    </w:p>
    <w:p w14:paraId="1F2A3202" w14:textId="77777777" w:rsidR="00817E88" w:rsidRPr="00817E88" w:rsidRDefault="00817E88" w:rsidP="00817E88">
      <w:pPr>
        <w:autoSpaceDE w:val="0"/>
        <w:autoSpaceDN w:val="0"/>
        <w:adjustRightInd w:val="0"/>
        <w:jc w:val="both"/>
        <w:rPr>
          <w:rFonts w:ascii="Arial" w:hAnsi="Arial" w:cs="Arial"/>
          <w:b/>
          <w:bCs/>
          <w:sz w:val="22"/>
          <w:szCs w:val="22"/>
          <w:lang w:val="en-GB"/>
        </w:rPr>
      </w:pPr>
    </w:p>
    <w:p w14:paraId="30CD36CB" w14:textId="67EDB1D1" w:rsidR="00766B4B" w:rsidRPr="000646DB" w:rsidRDefault="00766B4B" w:rsidP="00A22E2E">
      <w:pPr>
        <w:numPr>
          <w:ilvl w:val="0"/>
          <w:numId w:val="15"/>
        </w:numPr>
        <w:tabs>
          <w:tab w:val="clear" w:pos="720"/>
          <w:tab w:val="num" w:pos="0"/>
        </w:tabs>
        <w:autoSpaceDE w:val="0"/>
        <w:autoSpaceDN w:val="0"/>
        <w:adjustRightInd w:val="0"/>
        <w:ind w:left="0" w:hanging="709"/>
        <w:jc w:val="both"/>
        <w:rPr>
          <w:rFonts w:ascii="Arial" w:hAnsi="Arial" w:cs="Arial"/>
          <w:b/>
          <w:bCs/>
          <w:sz w:val="22"/>
          <w:szCs w:val="22"/>
          <w:lang w:val="en-GB"/>
        </w:rPr>
      </w:pPr>
      <w:r w:rsidRPr="00094C7E">
        <w:rPr>
          <w:rFonts w:ascii="Arial" w:hAnsi="Arial" w:cs="Arial"/>
          <w:sz w:val="22"/>
          <w:szCs w:val="22"/>
          <w:lang w:val="en-GB" w:eastAsia="en-GB"/>
        </w:rPr>
        <w:t xml:space="preserve">The present decision constitutes a follow-up to the Panel’s decision of </w:t>
      </w:r>
      <w:r w:rsidR="00E96FE1">
        <w:rPr>
          <w:rFonts w:ascii="Arial" w:hAnsi="Arial" w:cs="Arial"/>
          <w:sz w:val="22"/>
          <w:szCs w:val="22"/>
          <w:lang w:val="en-GB" w:eastAsia="en-GB"/>
        </w:rPr>
        <w:t>22 April 2015</w:t>
      </w:r>
      <w:r w:rsidRPr="00094C7E">
        <w:rPr>
          <w:rFonts w:ascii="Arial" w:hAnsi="Arial" w:cs="Arial"/>
          <w:sz w:val="22"/>
          <w:szCs w:val="22"/>
          <w:lang w:val="en-GB" w:eastAsia="en-GB"/>
        </w:rPr>
        <w:t xml:space="preserve"> and the recommendations made therein. The power and authority of the Panel to follow-up on its decisions and recommendations is provided for in Rule 45 </w:t>
      </w:r>
      <w:proofErr w:type="spellStart"/>
      <w:r w:rsidRPr="00094C7E">
        <w:rPr>
          <w:rFonts w:ascii="Arial" w:hAnsi="Arial" w:cs="Arial"/>
          <w:sz w:val="22"/>
          <w:szCs w:val="22"/>
          <w:lang w:val="en-GB" w:eastAsia="en-GB"/>
        </w:rPr>
        <w:t>bis</w:t>
      </w:r>
      <w:proofErr w:type="spellEnd"/>
      <w:r w:rsidRPr="00094C7E">
        <w:rPr>
          <w:rFonts w:ascii="Arial" w:hAnsi="Arial" w:cs="Arial"/>
          <w:sz w:val="22"/>
          <w:szCs w:val="22"/>
          <w:lang w:val="en-GB" w:eastAsia="en-GB"/>
        </w:rPr>
        <w:t xml:space="preserve"> of the Panel’s Rules of Procedure (see e.g. the decisions on the implementation of recommendations </w:t>
      </w:r>
      <w:hyperlink r:id="rId8" w:history="1">
        <w:r w:rsidRPr="00094C7E">
          <w:rPr>
            <w:rStyle w:val="Hyperlink"/>
            <w:rFonts w:ascii="Arial" w:hAnsi="Arial" w:cs="Arial"/>
            <w:i/>
            <w:sz w:val="22"/>
            <w:szCs w:val="22"/>
            <w:lang w:val="en-GB" w:eastAsia="en-GB"/>
          </w:rPr>
          <w:t>W against EULEX</w:t>
        </w:r>
      </w:hyperlink>
      <w:r w:rsidRPr="00094C7E">
        <w:rPr>
          <w:rFonts w:ascii="Arial" w:hAnsi="Arial" w:cs="Arial"/>
          <w:sz w:val="22"/>
          <w:szCs w:val="22"/>
          <w:lang w:val="en-GB" w:eastAsia="en-GB"/>
        </w:rPr>
        <w:t xml:space="preserve">, 2011-07, 26 August 2014; </w:t>
      </w:r>
      <w:hyperlink r:id="rId9" w:history="1">
        <w:r w:rsidRPr="00094C7E">
          <w:rPr>
            <w:rStyle w:val="Hyperlink"/>
            <w:rFonts w:ascii="Arial" w:hAnsi="Arial" w:cs="Arial"/>
            <w:i/>
            <w:sz w:val="22"/>
            <w:szCs w:val="22"/>
            <w:lang w:val="en-GB" w:eastAsia="en-GB"/>
          </w:rPr>
          <w:t>H&amp;G against EULEX</w:t>
        </w:r>
      </w:hyperlink>
      <w:r w:rsidRPr="00094C7E">
        <w:rPr>
          <w:rFonts w:ascii="Arial" w:hAnsi="Arial" w:cs="Arial"/>
          <w:sz w:val="22"/>
          <w:szCs w:val="22"/>
          <w:lang w:val="en-GB" w:eastAsia="en-GB"/>
        </w:rPr>
        <w:t>, 2012-19&amp;20, 27 May 2014).</w:t>
      </w:r>
    </w:p>
    <w:p w14:paraId="4BBBC8D6" w14:textId="77777777" w:rsidR="00766B4B" w:rsidRPr="00094C7E" w:rsidRDefault="00766B4B" w:rsidP="000646DB">
      <w:pPr>
        <w:autoSpaceDE w:val="0"/>
        <w:autoSpaceDN w:val="0"/>
        <w:adjustRightInd w:val="0"/>
        <w:jc w:val="both"/>
        <w:rPr>
          <w:rFonts w:ascii="Arial" w:hAnsi="Arial" w:cs="Arial"/>
          <w:b/>
          <w:bCs/>
          <w:sz w:val="22"/>
          <w:szCs w:val="22"/>
          <w:lang w:val="en-GB"/>
        </w:rPr>
      </w:pPr>
    </w:p>
    <w:p w14:paraId="7E149154" w14:textId="77777777" w:rsidR="00766B4B" w:rsidRPr="00094C7E" w:rsidRDefault="00766B4B" w:rsidP="00A22E2E">
      <w:pPr>
        <w:autoSpaceDE w:val="0"/>
        <w:autoSpaceDN w:val="0"/>
        <w:adjustRightInd w:val="0"/>
        <w:jc w:val="both"/>
        <w:rPr>
          <w:rFonts w:ascii="Arial" w:hAnsi="Arial" w:cs="Arial"/>
          <w:sz w:val="22"/>
          <w:szCs w:val="22"/>
          <w:lang w:val="en-GB" w:eastAsia="en-GB"/>
        </w:rPr>
      </w:pPr>
    </w:p>
    <w:p w14:paraId="761850AD" w14:textId="77777777" w:rsidR="00766B4B" w:rsidRPr="00094C7E" w:rsidRDefault="00766B4B" w:rsidP="00A22E2E">
      <w:pPr>
        <w:autoSpaceDE w:val="0"/>
        <w:autoSpaceDN w:val="0"/>
        <w:adjustRightInd w:val="0"/>
        <w:jc w:val="both"/>
        <w:rPr>
          <w:rFonts w:ascii="Arial" w:hAnsi="Arial" w:cs="Arial"/>
          <w:b/>
          <w:bCs/>
          <w:sz w:val="22"/>
          <w:szCs w:val="22"/>
          <w:lang w:val="en-GB" w:eastAsia="en-GB"/>
        </w:rPr>
      </w:pPr>
      <w:r w:rsidRPr="00094C7E">
        <w:rPr>
          <w:rFonts w:ascii="Arial" w:hAnsi="Arial" w:cs="Arial"/>
          <w:b/>
          <w:bCs/>
          <w:sz w:val="22"/>
          <w:szCs w:val="22"/>
          <w:lang w:val="en-GB" w:eastAsia="en-GB"/>
        </w:rPr>
        <w:t>II.</w:t>
      </w:r>
      <w:r w:rsidRPr="00094C7E">
        <w:rPr>
          <w:rFonts w:ascii="Arial" w:hAnsi="Arial" w:cs="Arial"/>
          <w:b/>
          <w:bCs/>
          <w:sz w:val="22"/>
          <w:szCs w:val="22"/>
          <w:lang w:val="en-GB" w:eastAsia="en-GB"/>
        </w:rPr>
        <w:tab/>
        <w:t xml:space="preserve">INFORMATION RECEIVED FROM EULEX’S HEAD OF MISSION REGARDING THE IMPLEMENTATION OF THE PANEL’S RECOMMENDATIONS </w:t>
      </w:r>
    </w:p>
    <w:p w14:paraId="1DDC0525" w14:textId="77777777" w:rsidR="00766B4B" w:rsidRPr="00094C7E" w:rsidRDefault="00766B4B" w:rsidP="00A22E2E">
      <w:pPr>
        <w:autoSpaceDE w:val="0"/>
        <w:autoSpaceDN w:val="0"/>
        <w:adjustRightInd w:val="0"/>
        <w:jc w:val="both"/>
        <w:rPr>
          <w:rFonts w:ascii="Arial" w:hAnsi="Arial" w:cs="Arial"/>
          <w:sz w:val="22"/>
          <w:szCs w:val="22"/>
          <w:lang w:val="en-GB" w:eastAsia="en-GB"/>
        </w:rPr>
      </w:pPr>
    </w:p>
    <w:p w14:paraId="1CBE1F81" w14:textId="77777777" w:rsidR="00766B4B" w:rsidRPr="00094C7E" w:rsidRDefault="00766B4B" w:rsidP="00A22E2E">
      <w:pPr>
        <w:autoSpaceDE w:val="0"/>
        <w:autoSpaceDN w:val="0"/>
        <w:adjustRightInd w:val="0"/>
        <w:jc w:val="both"/>
        <w:rPr>
          <w:rFonts w:ascii="Arial" w:hAnsi="Arial" w:cs="Arial"/>
          <w:b/>
          <w:bCs/>
          <w:sz w:val="22"/>
          <w:szCs w:val="22"/>
          <w:lang w:val="en-GB"/>
        </w:rPr>
      </w:pPr>
    </w:p>
    <w:p w14:paraId="44CB6125" w14:textId="77777777" w:rsidR="00766B4B" w:rsidRPr="00094C7E" w:rsidRDefault="00766B4B" w:rsidP="00A22E2E">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sidRPr="00094C7E">
        <w:rPr>
          <w:rFonts w:ascii="Arial" w:hAnsi="Arial" w:cs="Arial"/>
          <w:sz w:val="22"/>
          <w:szCs w:val="22"/>
          <w:lang w:val="en-GB"/>
        </w:rPr>
        <w:t>On</w:t>
      </w:r>
      <w:r w:rsidR="00A81369">
        <w:rPr>
          <w:rFonts w:ascii="Arial" w:hAnsi="Arial" w:cs="Arial"/>
          <w:sz w:val="22"/>
          <w:szCs w:val="22"/>
          <w:lang w:val="en-GB"/>
        </w:rPr>
        <w:t xml:space="preserve"> 31 August 2015</w:t>
      </w:r>
      <w:r w:rsidRPr="00094C7E">
        <w:rPr>
          <w:rFonts w:ascii="Arial" w:hAnsi="Arial" w:cs="Arial"/>
          <w:sz w:val="22"/>
          <w:szCs w:val="22"/>
          <w:lang w:val="en-GB"/>
        </w:rPr>
        <w:t>, the HoM informed the Panel about a number of measures which he had taken with regard to the recommendations of the Panel.</w:t>
      </w:r>
    </w:p>
    <w:p w14:paraId="495A94A5" w14:textId="77777777" w:rsidR="00766B4B" w:rsidRPr="00094C7E" w:rsidRDefault="00766B4B" w:rsidP="00A22E2E">
      <w:pPr>
        <w:suppressAutoHyphens/>
        <w:autoSpaceDE w:val="0"/>
        <w:autoSpaceDN w:val="0"/>
        <w:adjustRightInd w:val="0"/>
        <w:jc w:val="both"/>
        <w:rPr>
          <w:rFonts w:ascii="Arial" w:hAnsi="Arial" w:cs="Arial"/>
          <w:iCs/>
          <w:sz w:val="22"/>
          <w:szCs w:val="22"/>
          <w:lang w:val="en-GB"/>
        </w:rPr>
      </w:pPr>
    </w:p>
    <w:p w14:paraId="33054D5E" w14:textId="7A063FDA" w:rsidR="00766B4B" w:rsidRDefault="00766B4B" w:rsidP="00A22E2E">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Pr>
          <w:rFonts w:ascii="Arial" w:hAnsi="Arial" w:cs="Arial"/>
          <w:iCs/>
          <w:sz w:val="22"/>
          <w:szCs w:val="22"/>
          <w:lang w:val="en-GB"/>
        </w:rPr>
        <w:t>In particular, he</w:t>
      </w:r>
      <w:r w:rsidRPr="00094C7E">
        <w:rPr>
          <w:rFonts w:ascii="Arial" w:hAnsi="Arial" w:cs="Arial"/>
          <w:iCs/>
          <w:sz w:val="22"/>
          <w:szCs w:val="22"/>
          <w:lang w:val="en-GB"/>
        </w:rPr>
        <w:t xml:space="preserve"> wrote to the Acting Head of EULEX Executive Division and </w:t>
      </w:r>
      <w:r w:rsidR="00474888">
        <w:rPr>
          <w:rFonts w:ascii="Arial" w:hAnsi="Arial" w:cs="Arial"/>
          <w:iCs/>
          <w:sz w:val="22"/>
          <w:szCs w:val="22"/>
          <w:lang w:val="en-GB"/>
        </w:rPr>
        <w:t xml:space="preserve">the </w:t>
      </w:r>
      <w:r w:rsidRPr="00094C7E">
        <w:rPr>
          <w:rFonts w:ascii="Arial" w:hAnsi="Arial" w:cs="Arial"/>
          <w:iCs/>
          <w:sz w:val="22"/>
          <w:szCs w:val="22"/>
          <w:lang w:val="en-GB"/>
        </w:rPr>
        <w:t xml:space="preserve">Acting Chief EULEX Prosecutor requesting them to consider the </w:t>
      </w:r>
      <w:r>
        <w:rPr>
          <w:rFonts w:ascii="Arial" w:hAnsi="Arial" w:cs="Arial"/>
          <w:iCs/>
          <w:sz w:val="22"/>
          <w:szCs w:val="22"/>
          <w:lang w:val="en-GB"/>
        </w:rPr>
        <w:t>decision</w:t>
      </w:r>
      <w:r w:rsidRPr="00094C7E">
        <w:rPr>
          <w:rFonts w:ascii="Arial" w:hAnsi="Arial" w:cs="Arial"/>
          <w:iCs/>
          <w:sz w:val="22"/>
          <w:szCs w:val="22"/>
          <w:lang w:val="en-GB"/>
        </w:rPr>
        <w:t xml:space="preserve"> of the Panel and to assess whether there would be </w:t>
      </w:r>
      <w:r>
        <w:rPr>
          <w:rFonts w:ascii="Arial" w:hAnsi="Arial" w:cs="Arial"/>
          <w:iCs/>
          <w:sz w:val="22"/>
          <w:szCs w:val="22"/>
          <w:lang w:val="en-GB"/>
        </w:rPr>
        <w:t>a possibility to apply Article 7</w:t>
      </w:r>
      <w:r w:rsidRPr="00094C7E">
        <w:rPr>
          <w:rFonts w:ascii="Arial" w:hAnsi="Arial" w:cs="Arial"/>
          <w:iCs/>
          <w:sz w:val="22"/>
          <w:szCs w:val="22"/>
          <w:lang w:val="en-GB"/>
        </w:rPr>
        <w:t>A of the Law no. 04/L-273</w:t>
      </w:r>
      <w:r>
        <w:rPr>
          <w:rFonts w:ascii="Arial" w:hAnsi="Arial" w:cs="Arial"/>
          <w:iCs/>
          <w:sz w:val="22"/>
          <w:szCs w:val="22"/>
          <w:lang w:val="en-GB"/>
        </w:rPr>
        <w:t xml:space="preserve"> </w:t>
      </w:r>
      <w:r w:rsidRPr="00094C7E">
        <w:rPr>
          <w:rFonts w:ascii="Arial" w:hAnsi="Arial" w:cs="Arial"/>
          <w:iCs/>
          <w:sz w:val="22"/>
          <w:szCs w:val="22"/>
          <w:lang w:val="en-GB"/>
        </w:rPr>
        <w:t>on Jurisdiction and Competencies of EULEX Judges and Prosecutors as amended (Law</w:t>
      </w:r>
      <w:r>
        <w:rPr>
          <w:rFonts w:ascii="Arial" w:hAnsi="Arial" w:cs="Arial"/>
          <w:iCs/>
          <w:sz w:val="22"/>
          <w:szCs w:val="22"/>
          <w:lang w:val="en-GB"/>
        </w:rPr>
        <w:t xml:space="preserve"> on Jurisdiction</w:t>
      </w:r>
      <w:r w:rsidRPr="00094C7E">
        <w:rPr>
          <w:rFonts w:ascii="Arial" w:hAnsi="Arial" w:cs="Arial"/>
          <w:iCs/>
          <w:sz w:val="22"/>
          <w:szCs w:val="22"/>
          <w:lang w:val="en-GB"/>
        </w:rPr>
        <w:t>) to the criminal case subject to the Panel’s decision</w:t>
      </w:r>
      <w:r>
        <w:rPr>
          <w:rFonts w:ascii="Arial" w:hAnsi="Arial" w:cs="Arial"/>
          <w:iCs/>
          <w:sz w:val="22"/>
          <w:szCs w:val="22"/>
          <w:lang w:val="en-GB"/>
        </w:rPr>
        <w:t xml:space="preserve"> and assign the case to a EULEX </w:t>
      </w:r>
      <w:r w:rsidR="00474888">
        <w:rPr>
          <w:rFonts w:ascii="Arial" w:hAnsi="Arial" w:cs="Arial"/>
          <w:iCs/>
          <w:sz w:val="22"/>
          <w:szCs w:val="22"/>
          <w:lang w:val="en-GB"/>
        </w:rPr>
        <w:t>P</w:t>
      </w:r>
      <w:r>
        <w:rPr>
          <w:rFonts w:ascii="Arial" w:hAnsi="Arial" w:cs="Arial"/>
          <w:iCs/>
          <w:sz w:val="22"/>
          <w:szCs w:val="22"/>
          <w:lang w:val="en-GB"/>
        </w:rPr>
        <w:t>rosecutor due to “extraordinary circumstances</w:t>
      </w:r>
      <w:r w:rsidR="00A81369">
        <w:rPr>
          <w:rFonts w:ascii="Arial" w:hAnsi="Arial" w:cs="Arial"/>
          <w:iCs/>
          <w:sz w:val="22"/>
          <w:szCs w:val="22"/>
          <w:lang w:val="en-GB"/>
        </w:rPr>
        <w:t xml:space="preserve">” within the meaning of this provision. </w:t>
      </w:r>
    </w:p>
    <w:p w14:paraId="6D75D74D" w14:textId="77777777" w:rsidR="00766B4B" w:rsidRDefault="00766B4B" w:rsidP="003513AF">
      <w:pPr>
        <w:pStyle w:val="ListParagraph"/>
        <w:rPr>
          <w:rFonts w:ascii="Arial" w:hAnsi="Arial" w:cs="Arial"/>
          <w:iCs/>
          <w:sz w:val="22"/>
          <w:szCs w:val="22"/>
          <w:lang w:val="en-GB"/>
        </w:rPr>
      </w:pPr>
    </w:p>
    <w:p w14:paraId="5CD1A21A" w14:textId="2B101860" w:rsidR="00766B4B" w:rsidRDefault="00766B4B" w:rsidP="00A22E2E">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sidRPr="00094C7E">
        <w:rPr>
          <w:rFonts w:ascii="Arial" w:hAnsi="Arial" w:cs="Arial"/>
          <w:iCs/>
          <w:sz w:val="22"/>
          <w:szCs w:val="22"/>
          <w:lang w:val="en-GB"/>
        </w:rPr>
        <w:t>On 19 August 2015</w:t>
      </w:r>
      <w:r>
        <w:rPr>
          <w:rFonts w:ascii="Arial" w:hAnsi="Arial" w:cs="Arial"/>
          <w:iCs/>
          <w:sz w:val="22"/>
          <w:szCs w:val="22"/>
          <w:lang w:val="en-GB"/>
        </w:rPr>
        <w:t>,</w:t>
      </w:r>
      <w:r w:rsidRPr="00094C7E">
        <w:rPr>
          <w:rFonts w:ascii="Arial" w:hAnsi="Arial" w:cs="Arial"/>
          <w:iCs/>
          <w:sz w:val="22"/>
          <w:szCs w:val="22"/>
          <w:lang w:val="en-GB"/>
        </w:rPr>
        <w:t xml:space="preserve"> the Acting H</w:t>
      </w:r>
      <w:r>
        <w:rPr>
          <w:rFonts w:ascii="Arial" w:hAnsi="Arial" w:cs="Arial"/>
          <w:iCs/>
          <w:sz w:val="22"/>
          <w:szCs w:val="22"/>
          <w:lang w:val="en-GB"/>
        </w:rPr>
        <w:t xml:space="preserve">ead </w:t>
      </w:r>
      <w:r w:rsidRPr="00094C7E">
        <w:rPr>
          <w:rFonts w:ascii="Arial" w:hAnsi="Arial" w:cs="Arial"/>
          <w:iCs/>
          <w:sz w:val="22"/>
          <w:szCs w:val="22"/>
          <w:lang w:val="en-GB"/>
        </w:rPr>
        <w:t xml:space="preserve">and </w:t>
      </w:r>
      <w:r>
        <w:rPr>
          <w:rFonts w:ascii="Arial" w:hAnsi="Arial" w:cs="Arial"/>
          <w:iCs/>
          <w:sz w:val="22"/>
          <w:szCs w:val="22"/>
          <w:lang w:val="en-GB"/>
        </w:rPr>
        <w:t xml:space="preserve">the </w:t>
      </w:r>
      <w:r w:rsidRPr="00094C7E">
        <w:rPr>
          <w:rFonts w:ascii="Arial" w:hAnsi="Arial" w:cs="Arial"/>
          <w:iCs/>
          <w:sz w:val="22"/>
          <w:szCs w:val="22"/>
          <w:lang w:val="en-GB"/>
        </w:rPr>
        <w:t xml:space="preserve">Acting Chief Prosecutor </w:t>
      </w:r>
      <w:r>
        <w:rPr>
          <w:rFonts w:ascii="Arial" w:hAnsi="Arial" w:cs="Arial"/>
          <w:iCs/>
          <w:sz w:val="22"/>
          <w:szCs w:val="22"/>
          <w:lang w:val="en-GB"/>
        </w:rPr>
        <w:t xml:space="preserve">informed the HoM that, as required by Article 7A, </w:t>
      </w:r>
      <w:r w:rsidRPr="00094C7E">
        <w:rPr>
          <w:rFonts w:ascii="Arial" w:hAnsi="Arial" w:cs="Arial"/>
          <w:iCs/>
          <w:sz w:val="22"/>
          <w:szCs w:val="22"/>
          <w:lang w:val="en-GB"/>
        </w:rPr>
        <w:t xml:space="preserve">the case </w:t>
      </w:r>
      <w:r>
        <w:rPr>
          <w:rFonts w:ascii="Arial" w:hAnsi="Arial" w:cs="Arial"/>
          <w:iCs/>
          <w:sz w:val="22"/>
          <w:szCs w:val="22"/>
          <w:lang w:val="en-GB"/>
        </w:rPr>
        <w:t xml:space="preserve">and the possibility of taking it over by EULEX </w:t>
      </w:r>
      <w:r w:rsidR="00474888">
        <w:rPr>
          <w:rFonts w:ascii="Arial" w:hAnsi="Arial" w:cs="Arial"/>
          <w:iCs/>
          <w:sz w:val="22"/>
          <w:szCs w:val="22"/>
          <w:lang w:val="en-GB"/>
        </w:rPr>
        <w:t>P</w:t>
      </w:r>
      <w:r>
        <w:rPr>
          <w:rFonts w:ascii="Arial" w:hAnsi="Arial" w:cs="Arial"/>
          <w:iCs/>
          <w:sz w:val="22"/>
          <w:szCs w:val="22"/>
          <w:lang w:val="en-GB"/>
        </w:rPr>
        <w:t>rosecutors had been</w:t>
      </w:r>
      <w:r w:rsidRPr="00094C7E">
        <w:rPr>
          <w:rFonts w:ascii="Arial" w:hAnsi="Arial" w:cs="Arial"/>
          <w:iCs/>
          <w:sz w:val="22"/>
          <w:szCs w:val="22"/>
          <w:lang w:val="en-GB"/>
        </w:rPr>
        <w:t xml:space="preserve"> assessed jointly</w:t>
      </w:r>
      <w:r>
        <w:rPr>
          <w:rFonts w:ascii="Arial" w:hAnsi="Arial" w:cs="Arial"/>
          <w:iCs/>
          <w:sz w:val="22"/>
          <w:szCs w:val="22"/>
          <w:lang w:val="en-GB"/>
        </w:rPr>
        <w:t xml:space="preserve"> </w:t>
      </w:r>
      <w:r w:rsidRPr="00094C7E">
        <w:rPr>
          <w:rFonts w:ascii="Arial" w:hAnsi="Arial" w:cs="Arial"/>
          <w:iCs/>
          <w:sz w:val="22"/>
          <w:szCs w:val="22"/>
          <w:lang w:val="en-GB"/>
        </w:rPr>
        <w:t xml:space="preserve">by the Chief State Prosecutor of Kosovo and </w:t>
      </w:r>
      <w:r w:rsidR="00474888">
        <w:rPr>
          <w:rFonts w:ascii="Arial" w:hAnsi="Arial" w:cs="Arial"/>
          <w:iCs/>
          <w:sz w:val="22"/>
          <w:szCs w:val="22"/>
          <w:lang w:val="en-GB"/>
        </w:rPr>
        <w:t xml:space="preserve">the </w:t>
      </w:r>
      <w:r w:rsidRPr="00094C7E">
        <w:rPr>
          <w:rFonts w:ascii="Arial" w:hAnsi="Arial" w:cs="Arial"/>
          <w:iCs/>
          <w:sz w:val="22"/>
          <w:szCs w:val="22"/>
          <w:lang w:val="en-GB"/>
        </w:rPr>
        <w:t xml:space="preserve">Chief EULEX Prosecutor. </w:t>
      </w:r>
      <w:r>
        <w:rPr>
          <w:rFonts w:ascii="Arial" w:hAnsi="Arial" w:cs="Arial"/>
          <w:iCs/>
          <w:sz w:val="22"/>
          <w:szCs w:val="22"/>
          <w:lang w:val="en-GB"/>
        </w:rPr>
        <w:t>They concluded, nevertheless, that</w:t>
      </w:r>
      <w:r w:rsidRPr="00094C7E">
        <w:rPr>
          <w:rFonts w:ascii="Arial" w:hAnsi="Arial" w:cs="Arial"/>
          <w:iCs/>
          <w:sz w:val="22"/>
          <w:szCs w:val="22"/>
          <w:lang w:val="en-GB"/>
        </w:rPr>
        <w:t xml:space="preserve"> the </w:t>
      </w:r>
      <w:r>
        <w:rPr>
          <w:rFonts w:ascii="Arial" w:hAnsi="Arial" w:cs="Arial"/>
          <w:iCs/>
          <w:sz w:val="22"/>
          <w:szCs w:val="22"/>
          <w:lang w:val="en-GB"/>
        </w:rPr>
        <w:t>“</w:t>
      </w:r>
      <w:r w:rsidRPr="00094C7E">
        <w:rPr>
          <w:rFonts w:ascii="Arial" w:hAnsi="Arial" w:cs="Arial"/>
          <w:iCs/>
          <w:sz w:val="22"/>
          <w:szCs w:val="22"/>
          <w:lang w:val="en-GB"/>
        </w:rPr>
        <w:t>extraordinary circumstances</w:t>
      </w:r>
      <w:r>
        <w:rPr>
          <w:rFonts w:ascii="Arial" w:hAnsi="Arial" w:cs="Arial"/>
          <w:iCs/>
          <w:sz w:val="22"/>
          <w:szCs w:val="22"/>
          <w:lang w:val="en-GB"/>
        </w:rPr>
        <w:t>”</w:t>
      </w:r>
      <w:r w:rsidRPr="00094C7E">
        <w:rPr>
          <w:rFonts w:ascii="Arial" w:hAnsi="Arial" w:cs="Arial"/>
          <w:iCs/>
          <w:sz w:val="22"/>
          <w:szCs w:val="22"/>
          <w:lang w:val="en-GB"/>
        </w:rPr>
        <w:t xml:space="preserve"> required by Article</w:t>
      </w:r>
      <w:r>
        <w:rPr>
          <w:rFonts w:ascii="Arial" w:hAnsi="Arial" w:cs="Arial"/>
          <w:iCs/>
          <w:sz w:val="22"/>
          <w:szCs w:val="22"/>
          <w:lang w:val="en-GB"/>
        </w:rPr>
        <w:t xml:space="preserve"> 7A</w:t>
      </w:r>
      <w:r w:rsidRPr="00094C7E">
        <w:rPr>
          <w:rFonts w:ascii="Arial" w:hAnsi="Arial" w:cs="Arial"/>
          <w:iCs/>
          <w:sz w:val="22"/>
          <w:szCs w:val="22"/>
          <w:lang w:val="en-GB"/>
        </w:rPr>
        <w:t xml:space="preserve"> </w:t>
      </w:r>
      <w:r>
        <w:rPr>
          <w:rFonts w:ascii="Arial" w:hAnsi="Arial" w:cs="Arial"/>
          <w:iCs/>
          <w:sz w:val="22"/>
          <w:szCs w:val="22"/>
          <w:lang w:val="en-GB"/>
        </w:rPr>
        <w:t>had not been</w:t>
      </w:r>
      <w:r w:rsidRPr="00094C7E">
        <w:rPr>
          <w:rFonts w:ascii="Arial" w:hAnsi="Arial" w:cs="Arial"/>
          <w:iCs/>
          <w:sz w:val="22"/>
          <w:szCs w:val="22"/>
          <w:lang w:val="en-GB"/>
        </w:rPr>
        <w:t xml:space="preserve"> met </w:t>
      </w:r>
      <w:r>
        <w:rPr>
          <w:rFonts w:ascii="Arial" w:hAnsi="Arial" w:cs="Arial"/>
          <w:iCs/>
          <w:sz w:val="22"/>
          <w:szCs w:val="22"/>
          <w:lang w:val="en-GB"/>
        </w:rPr>
        <w:t xml:space="preserve">and jurisdiction of </w:t>
      </w:r>
      <w:r w:rsidR="00474888">
        <w:rPr>
          <w:rFonts w:ascii="Arial" w:hAnsi="Arial" w:cs="Arial"/>
          <w:iCs/>
          <w:sz w:val="22"/>
          <w:szCs w:val="22"/>
          <w:lang w:val="en-GB"/>
        </w:rPr>
        <w:t xml:space="preserve">the </w:t>
      </w:r>
      <w:r>
        <w:rPr>
          <w:rFonts w:ascii="Arial" w:hAnsi="Arial" w:cs="Arial"/>
          <w:iCs/>
          <w:sz w:val="22"/>
          <w:szCs w:val="22"/>
          <w:lang w:val="en-GB"/>
        </w:rPr>
        <w:t xml:space="preserve">EULEX </w:t>
      </w:r>
      <w:r w:rsidR="00474888">
        <w:rPr>
          <w:rFonts w:ascii="Arial" w:hAnsi="Arial" w:cs="Arial"/>
          <w:iCs/>
          <w:sz w:val="22"/>
          <w:szCs w:val="22"/>
          <w:lang w:val="en-GB"/>
        </w:rPr>
        <w:t>P</w:t>
      </w:r>
      <w:r w:rsidRPr="00094C7E">
        <w:rPr>
          <w:rFonts w:ascii="Arial" w:hAnsi="Arial" w:cs="Arial"/>
          <w:iCs/>
          <w:sz w:val="22"/>
          <w:szCs w:val="22"/>
          <w:lang w:val="en-GB"/>
        </w:rPr>
        <w:t>rosecutors</w:t>
      </w:r>
      <w:r w:rsidRPr="00CA4C04">
        <w:rPr>
          <w:rFonts w:ascii="Arial" w:hAnsi="Arial" w:cs="Arial"/>
          <w:iCs/>
          <w:sz w:val="22"/>
          <w:szCs w:val="22"/>
          <w:lang w:val="en-GB"/>
        </w:rPr>
        <w:t xml:space="preserve"> </w:t>
      </w:r>
      <w:r>
        <w:rPr>
          <w:rFonts w:ascii="Arial" w:hAnsi="Arial" w:cs="Arial"/>
          <w:iCs/>
          <w:sz w:val="22"/>
          <w:szCs w:val="22"/>
          <w:lang w:val="en-GB"/>
        </w:rPr>
        <w:t>could not be</w:t>
      </w:r>
      <w:r w:rsidRPr="00094C7E">
        <w:rPr>
          <w:rFonts w:ascii="Arial" w:hAnsi="Arial" w:cs="Arial"/>
          <w:iCs/>
          <w:sz w:val="22"/>
          <w:szCs w:val="22"/>
          <w:lang w:val="en-GB"/>
        </w:rPr>
        <w:t xml:space="preserve"> trigger</w:t>
      </w:r>
      <w:r>
        <w:rPr>
          <w:rFonts w:ascii="Arial" w:hAnsi="Arial" w:cs="Arial"/>
          <w:iCs/>
          <w:sz w:val="22"/>
          <w:szCs w:val="22"/>
          <w:lang w:val="en-GB"/>
        </w:rPr>
        <w:t>ed</w:t>
      </w:r>
      <w:r w:rsidRPr="00094C7E">
        <w:rPr>
          <w:rFonts w:ascii="Arial" w:hAnsi="Arial" w:cs="Arial"/>
          <w:iCs/>
          <w:sz w:val="22"/>
          <w:szCs w:val="22"/>
          <w:lang w:val="en-GB"/>
        </w:rPr>
        <w:t>.</w:t>
      </w:r>
      <w:r>
        <w:rPr>
          <w:rFonts w:ascii="Arial" w:hAnsi="Arial" w:cs="Arial"/>
          <w:iCs/>
          <w:sz w:val="22"/>
          <w:szCs w:val="22"/>
          <w:lang w:val="en-GB"/>
        </w:rPr>
        <w:t xml:space="preserve"> However, t</w:t>
      </w:r>
      <w:r w:rsidRPr="00094C7E">
        <w:rPr>
          <w:rFonts w:ascii="Arial" w:hAnsi="Arial" w:cs="Arial"/>
          <w:iCs/>
          <w:sz w:val="22"/>
          <w:szCs w:val="22"/>
          <w:lang w:val="en-GB"/>
        </w:rPr>
        <w:t>h</w:t>
      </w:r>
      <w:r>
        <w:rPr>
          <w:rFonts w:ascii="Arial" w:hAnsi="Arial" w:cs="Arial"/>
          <w:iCs/>
          <w:sz w:val="22"/>
          <w:szCs w:val="22"/>
          <w:lang w:val="en-GB"/>
        </w:rPr>
        <w:t>e Acting Chief EULEX Prosecutor</w:t>
      </w:r>
      <w:r w:rsidRPr="00094C7E">
        <w:rPr>
          <w:rFonts w:ascii="Arial" w:hAnsi="Arial" w:cs="Arial"/>
          <w:iCs/>
          <w:sz w:val="22"/>
          <w:szCs w:val="22"/>
          <w:lang w:val="en-GB"/>
        </w:rPr>
        <w:t xml:space="preserve"> assured</w:t>
      </w:r>
      <w:r>
        <w:rPr>
          <w:rFonts w:ascii="Arial" w:hAnsi="Arial" w:cs="Arial"/>
          <w:iCs/>
          <w:sz w:val="22"/>
          <w:szCs w:val="22"/>
          <w:lang w:val="en-GB"/>
        </w:rPr>
        <w:t xml:space="preserve"> the HoM</w:t>
      </w:r>
      <w:r w:rsidRPr="00094C7E">
        <w:rPr>
          <w:rFonts w:ascii="Arial" w:hAnsi="Arial" w:cs="Arial"/>
          <w:iCs/>
          <w:sz w:val="22"/>
          <w:szCs w:val="22"/>
          <w:lang w:val="en-GB"/>
        </w:rPr>
        <w:t xml:space="preserve"> that</w:t>
      </w:r>
      <w:r>
        <w:rPr>
          <w:rFonts w:ascii="Arial" w:hAnsi="Arial" w:cs="Arial"/>
          <w:iCs/>
          <w:sz w:val="22"/>
          <w:szCs w:val="22"/>
          <w:lang w:val="en-GB"/>
        </w:rPr>
        <w:t>,</w:t>
      </w:r>
      <w:r w:rsidRPr="00094C7E">
        <w:rPr>
          <w:rFonts w:ascii="Arial" w:hAnsi="Arial" w:cs="Arial"/>
          <w:iCs/>
          <w:sz w:val="22"/>
          <w:szCs w:val="22"/>
          <w:lang w:val="en-GB"/>
        </w:rPr>
        <w:t xml:space="preserve"> </w:t>
      </w:r>
      <w:r>
        <w:rPr>
          <w:rFonts w:ascii="Arial" w:hAnsi="Arial" w:cs="Arial"/>
          <w:iCs/>
          <w:sz w:val="22"/>
          <w:szCs w:val="22"/>
          <w:lang w:val="en-GB"/>
        </w:rPr>
        <w:t>should</w:t>
      </w:r>
      <w:r w:rsidRPr="00094C7E">
        <w:rPr>
          <w:rFonts w:ascii="Arial" w:hAnsi="Arial" w:cs="Arial"/>
          <w:iCs/>
          <w:sz w:val="22"/>
          <w:szCs w:val="22"/>
          <w:lang w:val="en-GB"/>
        </w:rPr>
        <w:t xml:space="preserve"> such circumstances emerge in the future, the case and the applicability of Article </w:t>
      </w:r>
      <w:r>
        <w:rPr>
          <w:rFonts w:ascii="Arial" w:hAnsi="Arial" w:cs="Arial"/>
          <w:iCs/>
          <w:sz w:val="22"/>
          <w:szCs w:val="22"/>
          <w:lang w:val="en-GB"/>
        </w:rPr>
        <w:t>7A might</w:t>
      </w:r>
      <w:r w:rsidRPr="00094C7E">
        <w:rPr>
          <w:rFonts w:ascii="Arial" w:hAnsi="Arial" w:cs="Arial"/>
          <w:iCs/>
          <w:sz w:val="22"/>
          <w:szCs w:val="22"/>
          <w:lang w:val="en-GB"/>
        </w:rPr>
        <w:t xml:space="preserve"> be reconsidered. </w:t>
      </w:r>
    </w:p>
    <w:p w14:paraId="7144A678" w14:textId="77777777" w:rsidR="00766B4B" w:rsidRDefault="00766B4B" w:rsidP="003513AF">
      <w:pPr>
        <w:pStyle w:val="ListParagraph"/>
        <w:rPr>
          <w:rFonts w:ascii="Arial" w:hAnsi="Arial" w:cs="Arial"/>
          <w:iCs/>
          <w:sz w:val="22"/>
          <w:szCs w:val="22"/>
          <w:lang w:val="en-GB"/>
        </w:rPr>
      </w:pPr>
    </w:p>
    <w:p w14:paraId="71B3406D" w14:textId="2383F64A" w:rsidR="00766B4B" w:rsidRDefault="00766B4B" w:rsidP="00A22E2E">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Pr>
          <w:rFonts w:ascii="Arial" w:hAnsi="Arial" w:cs="Arial"/>
          <w:iCs/>
          <w:sz w:val="22"/>
          <w:szCs w:val="22"/>
          <w:lang w:val="en-GB"/>
        </w:rPr>
        <w:t>Further</w:t>
      </w:r>
      <w:r w:rsidRPr="00094C7E">
        <w:rPr>
          <w:rFonts w:ascii="Arial" w:hAnsi="Arial" w:cs="Arial"/>
          <w:iCs/>
          <w:sz w:val="22"/>
          <w:szCs w:val="22"/>
          <w:lang w:val="en-GB"/>
        </w:rPr>
        <w:t xml:space="preserve">, the Acting Chief EULEX Prosecutor </w:t>
      </w:r>
      <w:r w:rsidR="00A81369">
        <w:rPr>
          <w:rFonts w:ascii="Arial" w:hAnsi="Arial" w:cs="Arial"/>
          <w:iCs/>
          <w:sz w:val="22"/>
          <w:szCs w:val="22"/>
          <w:lang w:val="en-GB"/>
        </w:rPr>
        <w:t xml:space="preserve">submitted that in its decision on the merits of the present case </w:t>
      </w:r>
      <w:r>
        <w:rPr>
          <w:rFonts w:ascii="Arial" w:hAnsi="Arial" w:cs="Arial"/>
          <w:iCs/>
          <w:sz w:val="22"/>
          <w:szCs w:val="22"/>
          <w:lang w:val="en-GB"/>
        </w:rPr>
        <w:t>t</w:t>
      </w:r>
      <w:r w:rsidRPr="00094C7E">
        <w:rPr>
          <w:rFonts w:ascii="Arial" w:hAnsi="Arial" w:cs="Arial"/>
          <w:iCs/>
          <w:sz w:val="22"/>
          <w:szCs w:val="22"/>
          <w:lang w:val="en-GB"/>
        </w:rPr>
        <w:t xml:space="preserve">he Panel </w:t>
      </w:r>
      <w:r>
        <w:rPr>
          <w:rFonts w:ascii="Arial" w:hAnsi="Arial" w:cs="Arial"/>
          <w:iCs/>
          <w:sz w:val="22"/>
          <w:szCs w:val="22"/>
          <w:lang w:val="en-GB"/>
        </w:rPr>
        <w:t xml:space="preserve">had </w:t>
      </w:r>
      <w:r w:rsidRPr="00094C7E">
        <w:rPr>
          <w:rFonts w:ascii="Arial" w:hAnsi="Arial" w:cs="Arial"/>
          <w:iCs/>
          <w:sz w:val="22"/>
          <w:szCs w:val="22"/>
          <w:lang w:val="en-GB"/>
        </w:rPr>
        <w:t>critici</w:t>
      </w:r>
      <w:r w:rsidR="00474888">
        <w:rPr>
          <w:rFonts w:ascii="Arial" w:hAnsi="Arial" w:cs="Arial"/>
          <w:iCs/>
          <w:sz w:val="22"/>
          <w:szCs w:val="22"/>
          <w:lang w:val="en-GB"/>
        </w:rPr>
        <w:t>s</w:t>
      </w:r>
      <w:r w:rsidRPr="00094C7E">
        <w:rPr>
          <w:rFonts w:ascii="Arial" w:hAnsi="Arial" w:cs="Arial"/>
          <w:iCs/>
          <w:sz w:val="22"/>
          <w:szCs w:val="22"/>
          <w:lang w:val="en-GB"/>
        </w:rPr>
        <w:t xml:space="preserve">ed EULEX for initiating the investigation one day after the so called </w:t>
      </w:r>
      <w:r>
        <w:rPr>
          <w:rFonts w:ascii="Arial" w:hAnsi="Arial" w:cs="Arial"/>
          <w:iCs/>
          <w:sz w:val="22"/>
          <w:szCs w:val="22"/>
          <w:lang w:val="en-GB"/>
        </w:rPr>
        <w:t>“</w:t>
      </w:r>
      <w:r w:rsidRPr="00094C7E">
        <w:rPr>
          <w:rFonts w:ascii="Arial" w:hAnsi="Arial" w:cs="Arial"/>
          <w:iCs/>
          <w:sz w:val="22"/>
          <w:szCs w:val="22"/>
          <w:lang w:val="en-GB"/>
        </w:rPr>
        <w:t>cut-off date</w:t>
      </w:r>
      <w:r>
        <w:rPr>
          <w:rFonts w:ascii="Arial" w:hAnsi="Arial" w:cs="Arial"/>
          <w:iCs/>
          <w:sz w:val="22"/>
          <w:szCs w:val="22"/>
          <w:lang w:val="en-GB"/>
        </w:rPr>
        <w:t>”</w:t>
      </w:r>
      <w:r w:rsidRPr="00094C7E">
        <w:rPr>
          <w:rFonts w:ascii="Arial" w:hAnsi="Arial" w:cs="Arial"/>
          <w:iCs/>
          <w:sz w:val="22"/>
          <w:szCs w:val="22"/>
          <w:lang w:val="en-GB"/>
        </w:rPr>
        <w:t xml:space="preserve"> of 14 April 2014. </w:t>
      </w:r>
      <w:r w:rsidR="00A81369">
        <w:rPr>
          <w:rFonts w:ascii="Arial" w:hAnsi="Arial" w:cs="Arial"/>
          <w:iCs/>
          <w:sz w:val="22"/>
          <w:szCs w:val="22"/>
          <w:lang w:val="en-GB"/>
        </w:rPr>
        <w:t xml:space="preserve">He argued </w:t>
      </w:r>
      <w:r>
        <w:rPr>
          <w:rFonts w:ascii="Arial" w:hAnsi="Arial" w:cs="Arial"/>
          <w:iCs/>
          <w:sz w:val="22"/>
          <w:szCs w:val="22"/>
          <w:lang w:val="en-GB"/>
        </w:rPr>
        <w:t xml:space="preserve"> that</w:t>
      </w:r>
      <w:r w:rsidRPr="00094C7E">
        <w:rPr>
          <w:rFonts w:ascii="Arial" w:hAnsi="Arial" w:cs="Arial"/>
          <w:iCs/>
          <w:sz w:val="22"/>
          <w:szCs w:val="22"/>
          <w:lang w:val="en-GB"/>
        </w:rPr>
        <w:t xml:space="preserve"> </w:t>
      </w:r>
      <w:r>
        <w:rPr>
          <w:rFonts w:ascii="Arial" w:hAnsi="Arial" w:cs="Arial"/>
          <w:iCs/>
          <w:sz w:val="22"/>
          <w:szCs w:val="22"/>
          <w:lang w:val="en-GB"/>
        </w:rPr>
        <w:t>there had</w:t>
      </w:r>
      <w:r w:rsidRPr="00094C7E">
        <w:rPr>
          <w:rFonts w:ascii="Arial" w:hAnsi="Arial" w:cs="Arial"/>
          <w:iCs/>
          <w:sz w:val="22"/>
          <w:szCs w:val="22"/>
          <w:lang w:val="en-GB"/>
        </w:rPr>
        <w:t xml:space="preserve"> not been so far any ruling to initiate investigation, but the case </w:t>
      </w:r>
      <w:r w:rsidR="00A81369">
        <w:rPr>
          <w:rFonts w:ascii="Arial" w:hAnsi="Arial" w:cs="Arial"/>
          <w:iCs/>
          <w:sz w:val="22"/>
          <w:szCs w:val="22"/>
          <w:lang w:val="en-GB"/>
        </w:rPr>
        <w:t xml:space="preserve">currently </w:t>
      </w:r>
      <w:r w:rsidRPr="00094C7E">
        <w:rPr>
          <w:rFonts w:ascii="Arial" w:hAnsi="Arial" w:cs="Arial"/>
          <w:iCs/>
          <w:sz w:val="22"/>
          <w:szCs w:val="22"/>
          <w:lang w:val="en-GB"/>
        </w:rPr>
        <w:t>remain</w:t>
      </w:r>
      <w:r w:rsidR="00A81369">
        <w:rPr>
          <w:rFonts w:ascii="Arial" w:hAnsi="Arial" w:cs="Arial"/>
          <w:iCs/>
          <w:sz w:val="22"/>
          <w:szCs w:val="22"/>
          <w:lang w:val="en-GB"/>
        </w:rPr>
        <w:t>ed</w:t>
      </w:r>
      <w:r w:rsidRPr="00094C7E">
        <w:rPr>
          <w:rFonts w:ascii="Arial" w:hAnsi="Arial" w:cs="Arial"/>
          <w:iCs/>
          <w:sz w:val="22"/>
          <w:szCs w:val="22"/>
          <w:lang w:val="en-GB"/>
        </w:rPr>
        <w:t xml:space="preserve"> in the preliminary investigative phase </w:t>
      </w:r>
      <w:r w:rsidR="00A81369">
        <w:rPr>
          <w:rFonts w:ascii="Arial" w:hAnsi="Arial" w:cs="Arial"/>
          <w:iCs/>
          <w:sz w:val="22"/>
          <w:szCs w:val="22"/>
          <w:lang w:val="en-GB"/>
        </w:rPr>
        <w:t xml:space="preserve">with a view to </w:t>
      </w:r>
      <w:r w:rsidRPr="00094C7E">
        <w:rPr>
          <w:rFonts w:ascii="Arial" w:hAnsi="Arial" w:cs="Arial"/>
          <w:iCs/>
          <w:sz w:val="22"/>
          <w:szCs w:val="22"/>
          <w:lang w:val="en-GB"/>
        </w:rPr>
        <w:t xml:space="preserve"> determine whether a </w:t>
      </w:r>
      <w:r>
        <w:rPr>
          <w:lang w:val="en-GB"/>
        </w:rPr>
        <w:t> </w:t>
      </w:r>
      <w:r>
        <w:rPr>
          <w:rFonts w:ascii="Arial" w:hAnsi="Arial" w:cs="Arial"/>
          <w:iCs/>
          <w:sz w:val="22"/>
          <w:szCs w:val="22"/>
          <w:lang w:val="en-GB"/>
        </w:rPr>
        <w:t>c</w:t>
      </w:r>
      <w:r w:rsidRPr="00094C7E">
        <w:rPr>
          <w:rFonts w:ascii="Arial" w:hAnsi="Arial" w:cs="Arial"/>
          <w:iCs/>
          <w:sz w:val="22"/>
          <w:szCs w:val="22"/>
          <w:lang w:val="en-GB"/>
        </w:rPr>
        <w:t xml:space="preserve">riminal offence </w:t>
      </w:r>
      <w:r>
        <w:rPr>
          <w:rFonts w:ascii="Arial" w:hAnsi="Arial" w:cs="Arial"/>
          <w:iCs/>
          <w:sz w:val="22"/>
          <w:szCs w:val="22"/>
          <w:lang w:val="en-GB"/>
        </w:rPr>
        <w:t>has</w:t>
      </w:r>
      <w:r w:rsidRPr="00094C7E">
        <w:rPr>
          <w:rFonts w:ascii="Arial" w:hAnsi="Arial" w:cs="Arial"/>
          <w:iCs/>
          <w:sz w:val="22"/>
          <w:szCs w:val="22"/>
          <w:lang w:val="en-GB"/>
        </w:rPr>
        <w:t xml:space="preserve"> </w:t>
      </w:r>
      <w:r>
        <w:rPr>
          <w:rFonts w:ascii="Arial" w:hAnsi="Arial" w:cs="Arial"/>
          <w:iCs/>
          <w:sz w:val="22"/>
          <w:szCs w:val="22"/>
          <w:lang w:val="en-GB"/>
        </w:rPr>
        <w:t>been committed</w:t>
      </w:r>
      <w:r w:rsidRPr="00094C7E">
        <w:rPr>
          <w:rFonts w:ascii="Arial" w:hAnsi="Arial" w:cs="Arial"/>
          <w:iCs/>
          <w:sz w:val="22"/>
          <w:szCs w:val="22"/>
          <w:lang w:val="en-GB"/>
        </w:rPr>
        <w:t xml:space="preserve"> and if so, who would be the suspect of that offence. </w:t>
      </w:r>
    </w:p>
    <w:p w14:paraId="04BB991A" w14:textId="77777777" w:rsidR="00766B4B" w:rsidRDefault="00766B4B" w:rsidP="003513AF">
      <w:pPr>
        <w:pStyle w:val="ListParagraph"/>
        <w:rPr>
          <w:rFonts w:ascii="Arial" w:hAnsi="Arial" w:cs="Arial"/>
          <w:iCs/>
          <w:sz w:val="22"/>
          <w:szCs w:val="22"/>
          <w:lang w:val="en-GB"/>
        </w:rPr>
      </w:pPr>
    </w:p>
    <w:p w14:paraId="2BED2588" w14:textId="77777777" w:rsidR="00766B4B" w:rsidRDefault="00766B4B" w:rsidP="00A22E2E">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sidRPr="00094C7E">
        <w:rPr>
          <w:rFonts w:ascii="Arial" w:hAnsi="Arial" w:cs="Arial"/>
          <w:iCs/>
          <w:sz w:val="22"/>
          <w:szCs w:val="22"/>
          <w:lang w:val="en-GB"/>
        </w:rPr>
        <w:t xml:space="preserve">The Acting Chief EULEX Prosecutor also </w:t>
      </w:r>
      <w:r>
        <w:rPr>
          <w:rFonts w:ascii="Arial" w:hAnsi="Arial" w:cs="Arial"/>
          <w:iCs/>
          <w:sz w:val="22"/>
          <w:szCs w:val="22"/>
          <w:lang w:val="en-GB"/>
        </w:rPr>
        <w:t>submitted</w:t>
      </w:r>
      <w:r w:rsidRPr="00094C7E">
        <w:rPr>
          <w:rFonts w:ascii="Arial" w:hAnsi="Arial" w:cs="Arial"/>
          <w:iCs/>
          <w:sz w:val="22"/>
          <w:szCs w:val="22"/>
          <w:lang w:val="en-GB"/>
        </w:rPr>
        <w:t xml:space="preserve"> that the complainants’ representative ha</w:t>
      </w:r>
      <w:r>
        <w:rPr>
          <w:rFonts w:ascii="Arial" w:hAnsi="Arial" w:cs="Arial"/>
          <w:iCs/>
          <w:sz w:val="22"/>
          <w:szCs w:val="22"/>
          <w:lang w:val="en-GB"/>
        </w:rPr>
        <w:t>d</w:t>
      </w:r>
      <w:r w:rsidRPr="00094C7E">
        <w:rPr>
          <w:rFonts w:ascii="Arial" w:hAnsi="Arial" w:cs="Arial"/>
          <w:iCs/>
          <w:sz w:val="22"/>
          <w:szCs w:val="22"/>
          <w:lang w:val="en-GB"/>
        </w:rPr>
        <w:t xml:space="preserve"> not responded to the inquiries sent by the local prosecutor and the information provi</w:t>
      </w:r>
      <w:r>
        <w:rPr>
          <w:rFonts w:ascii="Arial" w:hAnsi="Arial" w:cs="Arial"/>
          <w:iCs/>
          <w:sz w:val="22"/>
          <w:szCs w:val="22"/>
          <w:lang w:val="en-GB"/>
        </w:rPr>
        <w:t>ded by the complainants’ appeared</w:t>
      </w:r>
      <w:r w:rsidRPr="00094C7E">
        <w:rPr>
          <w:rFonts w:ascii="Arial" w:hAnsi="Arial" w:cs="Arial"/>
          <w:iCs/>
          <w:sz w:val="22"/>
          <w:szCs w:val="22"/>
          <w:lang w:val="en-GB"/>
        </w:rPr>
        <w:t xml:space="preserve"> to have very limited evidential value.  </w:t>
      </w:r>
    </w:p>
    <w:p w14:paraId="43C596E4" w14:textId="77777777" w:rsidR="00766B4B" w:rsidRDefault="00766B4B" w:rsidP="003513AF">
      <w:pPr>
        <w:pStyle w:val="ListParagraph"/>
        <w:rPr>
          <w:rFonts w:ascii="Arial" w:hAnsi="Arial" w:cs="Arial"/>
          <w:iCs/>
          <w:sz w:val="22"/>
          <w:szCs w:val="22"/>
          <w:lang w:val="en-GB"/>
        </w:rPr>
      </w:pPr>
    </w:p>
    <w:p w14:paraId="0E3A836B" w14:textId="188C3F70" w:rsidR="00766B4B" w:rsidRDefault="00766B4B" w:rsidP="00A22E2E">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sidRPr="00094C7E">
        <w:rPr>
          <w:rFonts w:ascii="Arial" w:hAnsi="Arial" w:cs="Arial"/>
          <w:iCs/>
          <w:sz w:val="22"/>
          <w:szCs w:val="22"/>
          <w:lang w:val="en-GB"/>
        </w:rPr>
        <w:t xml:space="preserve">Despite the above, the local </w:t>
      </w:r>
      <w:r w:rsidR="00474888">
        <w:rPr>
          <w:rFonts w:ascii="Arial" w:hAnsi="Arial" w:cs="Arial"/>
          <w:iCs/>
          <w:sz w:val="22"/>
          <w:szCs w:val="22"/>
          <w:lang w:val="en-GB"/>
        </w:rPr>
        <w:t>P</w:t>
      </w:r>
      <w:r w:rsidRPr="00094C7E">
        <w:rPr>
          <w:rFonts w:ascii="Arial" w:hAnsi="Arial" w:cs="Arial"/>
          <w:iCs/>
          <w:sz w:val="22"/>
          <w:szCs w:val="22"/>
          <w:lang w:val="en-GB"/>
        </w:rPr>
        <w:t>rosecutor assigned to the case sent the criminal report to the Special Prosecution Office of Kosovo for assess</w:t>
      </w:r>
      <w:r>
        <w:rPr>
          <w:rFonts w:ascii="Arial" w:hAnsi="Arial" w:cs="Arial"/>
          <w:iCs/>
          <w:sz w:val="22"/>
          <w:szCs w:val="22"/>
          <w:lang w:val="en-GB"/>
        </w:rPr>
        <w:t>ment</w:t>
      </w:r>
      <w:r w:rsidRPr="00094C7E">
        <w:rPr>
          <w:rFonts w:ascii="Arial" w:hAnsi="Arial" w:cs="Arial"/>
          <w:iCs/>
          <w:sz w:val="22"/>
          <w:szCs w:val="22"/>
          <w:lang w:val="en-GB"/>
        </w:rPr>
        <w:t xml:space="preserve"> whether it would fall under their competence. The reply was negative; according to the Deputy Chief Prosecutor of the Special Prosecution Office, there </w:t>
      </w:r>
      <w:r>
        <w:rPr>
          <w:rFonts w:ascii="Arial" w:hAnsi="Arial" w:cs="Arial"/>
          <w:iCs/>
          <w:sz w:val="22"/>
          <w:szCs w:val="22"/>
          <w:lang w:val="en-GB"/>
        </w:rPr>
        <w:t>was no indication of organis</w:t>
      </w:r>
      <w:r w:rsidRPr="00094C7E">
        <w:rPr>
          <w:rFonts w:ascii="Arial" w:hAnsi="Arial" w:cs="Arial"/>
          <w:iCs/>
          <w:sz w:val="22"/>
          <w:szCs w:val="22"/>
          <w:lang w:val="en-GB"/>
        </w:rPr>
        <w:t xml:space="preserve">ed crime </w:t>
      </w:r>
      <w:r>
        <w:rPr>
          <w:rFonts w:ascii="Arial" w:hAnsi="Arial" w:cs="Arial"/>
          <w:iCs/>
          <w:sz w:val="22"/>
          <w:szCs w:val="22"/>
          <w:lang w:val="en-GB"/>
        </w:rPr>
        <w:t xml:space="preserve">involvement </w:t>
      </w:r>
      <w:r w:rsidRPr="00094C7E">
        <w:rPr>
          <w:rFonts w:ascii="Arial" w:hAnsi="Arial" w:cs="Arial"/>
          <w:iCs/>
          <w:sz w:val="22"/>
          <w:szCs w:val="22"/>
          <w:lang w:val="en-GB"/>
        </w:rPr>
        <w:t xml:space="preserve">in the case and thus it fell outside of its jurisdiction. </w:t>
      </w:r>
      <w:r>
        <w:rPr>
          <w:rFonts w:ascii="Arial" w:hAnsi="Arial" w:cs="Arial"/>
          <w:iCs/>
          <w:sz w:val="22"/>
          <w:szCs w:val="22"/>
          <w:lang w:val="en-GB"/>
        </w:rPr>
        <w:t>Consequently,</w:t>
      </w:r>
      <w:r w:rsidRPr="00094C7E">
        <w:rPr>
          <w:rFonts w:ascii="Arial" w:hAnsi="Arial" w:cs="Arial"/>
          <w:iCs/>
          <w:sz w:val="22"/>
          <w:szCs w:val="22"/>
          <w:lang w:val="en-GB"/>
        </w:rPr>
        <w:t xml:space="preserve"> the case </w:t>
      </w:r>
      <w:r w:rsidR="005A35A4">
        <w:rPr>
          <w:rFonts w:ascii="Arial" w:hAnsi="Arial" w:cs="Arial"/>
          <w:iCs/>
          <w:sz w:val="22"/>
          <w:szCs w:val="22"/>
          <w:lang w:val="en-GB"/>
        </w:rPr>
        <w:t xml:space="preserve">currently </w:t>
      </w:r>
      <w:r w:rsidRPr="00094C7E">
        <w:rPr>
          <w:rFonts w:ascii="Arial" w:hAnsi="Arial" w:cs="Arial"/>
          <w:iCs/>
          <w:sz w:val="22"/>
          <w:szCs w:val="22"/>
          <w:lang w:val="en-GB"/>
        </w:rPr>
        <w:t xml:space="preserve">remains with the </w:t>
      </w:r>
      <w:r w:rsidR="005A35A4">
        <w:rPr>
          <w:rFonts w:ascii="Arial" w:hAnsi="Arial" w:cs="Arial"/>
          <w:iCs/>
          <w:sz w:val="22"/>
          <w:szCs w:val="22"/>
          <w:lang w:val="en-GB"/>
        </w:rPr>
        <w:t>Kosovo</w:t>
      </w:r>
      <w:r w:rsidRPr="00094C7E">
        <w:rPr>
          <w:rFonts w:ascii="Arial" w:hAnsi="Arial" w:cs="Arial"/>
          <w:iCs/>
          <w:sz w:val="22"/>
          <w:szCs w:val="22"/>
          <w:lang w:val="en-GB"/>
        </w:rPr>
        <w:t xml:space="preserve"> prosecut</w:t>
      </w:r>
      <w:r w:rsidR="005A35A4">
        <w:rPr>
          <w:rFonts w:ascii="Arial" w:hAnsi="Arial" w:cs="Arial"/>
          <w:iCs/>
          <w:sz w:val="22"/>
          <w:szCs w:val="22"/>
          <w:lang w:val="en-GB"/>
        </w:rPr>
        <w:t xml:space="preserve">ing authorities. </w:t>
      </w:r>
      <w:r w:rsidRPr="00094C7E">
        <w:rPr>
          <w:rFonts w:ascii="Arial" w:hAnsi="Arial" w:cs="Arial"/>
          <w:iCs/>
          <w:sz w:val="22"/>
          <w:szCs w:val="22"/>
          <w:lang w:val="en-GB"/>
        </w:rPr>
        <w:t xml:space="preserve"> </w:t>
      </w:r>
    </w:p>
    <w:p w14:paraId="75D06A7F" w14:textId="77777777" w:rsidR="00766B4B" w:rsidRDefault="00766B4B" w:rsidP="003513AF">
      <w:pPr>
        <w:pStyle w:val="ListParagraph"/>
        <w:rPr>
          <w:rFonts w:ascii="Arial" w:hAnsi="Arial" w:cs="Arial"/>
          <w:iCs/>
          <w:sz w:val="22"/>
          <w:szCs w:val="22"/>
          <w:lang w:val="en-GB"/>
        </w:rPr>
      </w:pPr>
    </w:p>
    <w:p w14:paraId="5792870B" w14:textId="576A7B43" w:rsidR="00766B4B" w:rsidRDefault="00766B4B" w:rsidP="00B9111F">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sidRPr="00094C7E">
        <w:rPr>
          <w:rFonts w:ascii="Arial" w:hAnsi="Arial" w:cs="Arial"/>
          <w:iCs/>
          <w:sz w:val="22"/>
          <w:szCs w:val="22"/>
          <w:lang w:val="en-GB"/>
        </w:rPr>
        <w:lastRenderedPageBreak/>
        <w:t xml:space="preserve">The Acting Chief EULEX Prosecutor assured that the EULEX </w:t>
      </w:r>
      <w:r w:rsidR="00474888">
        <w:rPr>
          <w:rFonts w:ascii="Arial" w:hAnsi="Arial" w:cs="Arial"/>
          <w:iCs/>
          <w:sz w:val="22"/>
          <w:szCs w:val="22"/>
          <w:lang w:val="en-GB"/>
        </w:rPr>
        <w:t>P</w:t>
      </w:r>
      <w:r w:rsidRPr="00094C7E">
        <w:rPr>
          <w:rFonts w:ascii="Arial" w:hAnsi="Arial" w:cs="Arial"/>
          <w:iCs/>
          <w:sz w:val="22"/>
          <w:szCs w:val="22"/>
          <w:lang w:val="en-GB"/>
        </w:rPr>
        <w:t xml:space="preserve">rosecutor previously assigned to the case </w:t>
      </w:r>
      <w:r>
        <w:rPr>
          <w:rFonts w:ascii="Arial" w:hAnsi="Arial" w:cs="Arial"/>
          <w:iCs/>
          <w:sz w:val="22"/>
          <w:szCs w:val="22"/>
          <w:lang w:val="en-GB"/>
        </w:rPr>
        <w:t>would</w:t>
      </w:r>
      <w:r w:rsidRPr="00094C7E">
        <w:rPr>
          <w:rFonts w:ascii="Arial" w:hAnsi="Arial" w:cs="Arial"/>
          <w:iCs/>
          <w:sz w:val="22"/>
          <w:szCs w:val="22"/>
          <w:lang w:val="en-GB"/>
        </w:rPr>
        <w:t xml:space="preserve"> be availa</w:t>
      </w:r>
      <w:r>
        <w:rPr>
          <w:rFonts w:ascii="Arial" w:hAnsi="Arial" w:cs="Arial"/>
          <w:iCs/>
          <w:sz w:val="22"/>
          <w:szCs w:val="22"/>
          <w:lang w:val="en-GB"/>
        </w:rPr>
        <w:t>ble to the local prosecutor in their</w:t>
      </w:r>
      <w:r w:rsidRPr="00094C7E">
        <w:rPr>
          <w:rFonts w:ascii="Arial" w:hAnsi="Arial" w:cs="Arial"/>
          <w:iCs/>
          <w:sz w:val="22"/>
          <w:szCs w:val="22"/>
          <w:lang w:val="en-GB"/>
        </w:rPr>
        <w:t xml:space="preserve"> mentoring and advising capacity. </w:t>
      </w:r>
      <w:r>
        <w:rPr>
          <w:rFonts w:ascii="Arial" w:hAnsi="Arial" w:cs="Arial"/>
          <w:iCs/>
          <w:sz w:val="22"/>
          <w:szCs w:val="22"/>
          <w:lang w:val="en-GB"/>
        </w:rPr>
        <w:t>Moreover</w:t>
      </w:r>
      <w:r w:rsidRPr="00094C7E">
        <w:rPr>
          <w:rFonts w:ascii="Arial" w:hAnsi="Arial" w:cs="Arial"/>
          <w:iCs/>
          <w:sz w:val="22"/>
          <w:szCs w:val="22"/>
          <w:lang w:val="en-GB"/>
        </w:rPr>
        <w:t xml:space="preserve">, a detailed petition by any party can be addressed at any time to the Chief State Prosecutor of Kosovo and </w:t>
      </w:r>
      <w:r w:rsidR="00474888">
        <w:rPr>
          <w:rFonts w:ascii="Arial" w:hAnsi="Arial" w:cs="Arial"/>
          <w:iCs/>
          <w:sz w:val="22"/>
          <w:szCs w:val="22"/>
          <w:lang w:val="en-GB"/>
        </w:rPr>
        <w:t xml:space="preserve">the </w:t>
      </w:r>
      <w:r w:rsidRPr="00094C7E">
        <w:rPr>
          <w:rFonts w:ascii="Arial" w:hAnsi="Arial" w:cs="Arial"/>
          <w:iCs/>
          <w:sz w:val="22"/>
          <w:szCs w:val="22"/>
          <w:lang w:val="en-GB"/>
        </w:rPr>
        <w:t xml:space="preserve">Chief EULEX Prosecutor if </w:t>
      </w:r>
      <w:r>
        <w:rPr>
          <w:rFonts w:ascii="Arial" w:hAnsi="Arial" w:cs="Arial"/>
          <w:iCs/>
          <w:sz w:val="22"/>
          <w:szCs w:val="22"/>
          <w:lang w:val="en-GB"/>
        </w:rPr>
        <w:t>they consider</w:t>
      </w:r>
      <w:r w:rsidRPr="00094C7E">
        <w:rPr>
          <w:rFonts w:ascii="Arial" w:hAnsi="Arial" w:cs="Arial"/>
          <w:iCs/>
          <w:sz w:val="22"/>
          <w:szCs w:val="22"/>
          <w:lang w:val="en-GB"/>
        </w:rPr>
        <w:t xml:space="preserve"> that the circumstances have changed </w:t>
      </w:r>
      <w:r>
        <w:rPr>
          <w:rFonts w:ascii="Arial" w:hAnsi="Arial" w:cs="Arial"/>
          <w:iCs/>
          <w:sz w:val="22"/>
          <w:szCs w:val="22"/>
          <w:lang w:val="en-GB"/>
        </w:rPr>
        <w:t>and</w:t>
      </w:r>
      <w:r w:rsidRPr="00094C7E">
        <w:rPr>
          <w:rFonts w:ascii="Arial" w:hAnsi="Arial" w:cs="Arial"/>
          <w:iCs/>
          <w:sz w:val="22"/>
          <w:szCs w:val="22"/>
          <w:lang w:val="en-GB"/>
        </w:rPr>
        <w:t xml:space="preserve"> the conditions set</w:t>
      </w:r>
      <w:r>
        <w:rPr>
          <w:rFonts w:ascii="Arial" w:hAnsi="Arial" w:cs="Arial"/>
          <w:iCs/>
          <w:sz w:val="22"/>
          <w:szCs w:val="22"/>
          <w:lang w:val="en-GB"/>
        </w:rPr>
        <w:t xml:space="preserve"> out</w:t>
      </w:r>
      <w:r w:rsidRPr="00094C7E">
        <w:rPr>
          <w:rFonts w:ascii="Arial" w:hAnsi="Arial" w:cs="Arial"/>
          <w:iCs/>
          <w:sz w:val="22"/>
          <w:szCs w:val="22"/>
          <w:lang w:val="en-GB"/>
        </w:rPr>
        <w:t xml:space="preserve"> in Article 7 A of the Law on Jurisdiction </w:t>
      </w:r>
      <w:r>
        <w:rPr>
          <w:rFonts w:ascii="Arial" w:hAnsi="Arial" w:cs="Arial"/>
          <w:iCs/>
          <w:sz w:val="22"/>
          <w:szCs w:val="22"/>
          <w:lang w:val="en-GB"/>
        </w:rPr>
        <w:t>are</w:t>
      </w:r>
      <w:r w:rsidRPr="00094C7E">
        <w:rPr>
          <w:rFonts w:ascii="Arial" w:hAnsi="Arial" w:cs="Arial"/>
          <w:iCs/>
          <w:sz w:val="22"/>
          <w:szCs w:val="22"/>
          <w:lang w:val="en-GB"/>
        </w:rPr>
        <w:t xml:space="preserve"> met. </w:t>
      </w:r>
    </w:p>
    <w:p w14:paraId="2B53830B" w14:textId="77777777" w:rsidR="00766B4B" w:rsidRDefault="00766B4B" w:rsidP="000646DB">
      <w:pPr>
        <w:suppressAutoHyphens/>
        <w:autoSpaceDE w:val="0"/>
        <w:autoSpaceDN w:val="0"/>
        <w:adjustRightInd w:val="0"/>
        <w:jc w:val="both"/>
        <w:rPr>
          <w:rFonts w:ascii="Arial" w:hAnsi="Arial" w:cs="Arial"/>
          <w:iCs/>
          <w:sz w:val="22"/>
          <w:szCs w:val="22"/>
          <w:lang w:val="en-GB"/>
        </w:rPr>
      </w:pPr>
    </w:p>
    <w:p w14:paraId="7C043219" w14:textId="77777777" w:rsidR="00350D74" w:rsidRDefault="00350D74" w:rsidP="000646DB">
      <w:pPr>
        <w:suppressAutoHyphens/>
        <w:autoSpaceDE w:val="0"/>
        <w:autoSpaceDN w:val="0"/>
        <w:adjustRightInd w:val="0"/>
        <w:jc w:val="both"/>
        <w:rPr>
          <w:rFonts w:ascii="Arial" w:hAnsi="Arial" w:cs="Arial"/>
          <w:iCs/>
          <w:sz w:val="22"/>
          <w:szCs w:val="22"/>
          <w:lang w:val="en-GB"/>
        </w:rPr>
      </w:pPr>
    </w:p>
    <w:p w14:paraId="3DD712DD" w14:textId="77777777" w:rsidR="00766B4B" w:rsidRDefault="00766B4B" w:rsidP="00B9111F">
      <w:pPr>
        <w:pStyle w:val="ListParagraph"/>
        <w:rPr>
          <w:rFonts w:ascii="Arial" w:hAnsi="Arial" w:cs="Arial"/>
          <w:color w:val="000000"/>
          <w:sz w:val="22"/>
          <w:szCs w:val="22"/>
          <w:lang w:val="en-GB"/>
        </w:rPr>
      </w:pPr>
    </w:p>
    <w:p w14:paraId="7EFB8844" w14:textId="77777777" w:rsidR="00766B4B" w:rsidRPr="00094C7E" w:rsidRDefault="00766B4B" w:rsidP="00B44582">
      <w:pPr>
        <w:suppressAutoHyphens/>
        <w:autoSpaceDE w:val="0"/>
        <w:autoSpaceDN w:val="0"/>
        <w:adjustRightInd w:val="0"/>
        <w:jc w:val="both"/>
        <w:rPr>
          <w:rFonts w:ascii="Arial" w:hAnsi="Arial" w:cs="Arial"/>
          <w:b/>
          <w:bCs/>
          <w:iCs/>
          <w:sz w:val="22"/>
          <w:szCs w:val="22"/>
          <w:lang w:val="en-GB"/>
        </w:rPr>
      </w:pPr>
      <w:r w:rsidRPr="00094C7E">
        <w:rPr>
          <w:rFonts w:ascii="Arial" w:hAnsi="Arial" w:cs="Arial"/>
          <w:b/>
          <w:bCs/>
          <w:iCs/>
          <w:sz w:val="22"/>
          <w:szCs w:val="22"/>
          <w:lang w:val="en-GB"/>
        </w:rPr>
        <w:t>III.</w:t>
      </w:r>
      <w:r w:rsidRPr="00094C7E">
        <w:rPr>
          <w:rFonts w:ascii="Arial" w:hAnsi="Arial" w:cs="Arial"/>
          <w:b/>
          <w:bCs/>
          <w:iCs/>
          <w:sz w:val="22"/>
          <w:szCs w:val="22"/>
          <w:lang w:val="en-GB"/>
        </w:rPr>
        <w:tab/>
        <w:t>INFORMATION FROM THE COMPLAINANTS</w:t>
      </w:r>
    </w:p>
    <w:p w14:paraId="12A78CB2" w14:textId="77777777" w:rsidR="00766B4B" w:rsidRDefault="00766B4B" w:rsidP="00B9111F">
      <w:pPr>
        <w:pStyle w:val="ListParagraph"/>
        <w:rPr>
          <w:rFonts w:ascii="Arial" w:hAnsi="Arial" w:cs="Arial"/>
          <w:color w:val="000000"/>
          <w:sz w:val="22"/>
          <w:szCs w:val="22"/>
          <w:lang w:val="en-GB"/>
        </w:rPr>
      </w:pPr>
    </w:p>
    <w:p w14:paraId="40CD4309" w14:textId="77777777" w:rsidR="00766B4B" w:rsidRDefault="00766B4B" w:rsidP="00B9111F">
      <w:pPr>
        <w:pStyle w:val="ListParagraph"/>
        <w:rPr>
          <w:rFonts w:ascii="Arial" w:hAnsi="Arial" w:cs="Arial"/>
          <w:color w:val="000000"/>
          <w:sz w:val="22"/>
          <w:szCs w:val="22"/>
          <w:lang w:val="en-GB"/>
        </w:rPr>
      </w:pPr>
    </w:p>
    <w:p w14:paraId="1D9176DB" w14:textId="77777777" w:rsidR="00766B4B" w:rsidRDefault="00766B4B" w:rsidP="00B9111F">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sidRPr="00B9111F">
        <w:rPr>
          <w:rFonts w:ascii="Arial" w:hAnsi="Arial" w:cs="Arial"/>
          <w:color w:val="000000"/>
          <w:sz w:val="22"/>
          <w:szCs w:val="22"/>
          <w:lang w:val="en-GB"/>
        </w:rPr>
        <w:t>On 13 September 2015,</w:t>
      </w:r>
      <w:r w:rsidRPr="00B9111F">
        <w:rPr>
          <w:rFonts w:ascii="Arial" w:hAnsi="Arial" w:cs="Arial"/>
          <w:sz w:val="22"/>
          <w:szCs w:val="22"/>
          <w:lang w:val="en-GB"/>
        </w:rPr>
        <w:t xml:space="preserve"> the complainants</w:t>
      </w:r>
      <w:r w:rsidRPr="00B9111F">
        <w:rPr>
          <w:rFonts w:ascii="Arial" w:hAnsi="Arial" w:cs="Arial"/>
          <w:color w:val="000000"/>
          <w:sz w:val="22"/>
          <w:szCs w:val="22"/>
          <w:lang w:val="en-GB"/>
        </w:rPr>
        <w:t xml:space="preserve"> submitted their reply to the information provided by HoM. </w:t>
      </w:r>
    </w:p>
    <w:p w14:paraId="70896714" w14:textId="77777777" w:rsidR="00766B4B" w:rsidRDefault="00766B4B" w:rsidP="00B9111F">
      <w:pPr>
        <w:pStyle w:val="ListParagraph"/>
        <w:rPr>
          <w:rFonts w:ascii="Arial" w:hAnsi="Arial" w:cs="Arial"/>
          <w:color w:val="000000"/>
          <w:sz w:val="22"/>
          <w:szCs w:val="22"/>
          <w:lang w:val="en-GB"/>
        </w:rPr>
      </w:pPr>
    </w:p>
    <w:p w14:paraId="62445AF5" w14:textId="77777777" w:rsidR="00766B4B" w:rsidRDefault="00766B4B" w:rsidP="00B9111F">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sidRPr="00B9111F">
        <w:rPr>
          <w:rFonts w:ascii="Arial" w:hAnsi="Arial" w:cs="Arial"/>
          <w:color w:val="000000"/>
          <w:sz w:val="22"/>
          <w:szCs w:val="22"/>
          <w:lang w:val="en-GB"/>
        </w:rPr>
        <w:t xml:space="preserve">They disagreed with the HoM’s </w:t>
      </w:r>
      <w:r>
        <w:rPr>
          <w:rFonts w:ascii="Arial" w:hAnsi="Arial" w:cs="Arial"/>
          <w:color w:val="000000"/>
          <w:sz w:val="22"/>
          <w:szCs w:val="22"/>
          <w:lang w:val="en-GB"/>
        </w:rPr>
        <w:t>submission</w:t>
      </w:r>
      <w:r w:rsidRPr="00B9111F">
        <w:rPr>
          <w:rFonts w:ascii="Arial" w:hAnsi="Arial" w:cs="Arial"/>
          <w:color w:val="000000"/>
          <w:sz w:val="22"/>
          <w:szCs w:val="22"/>
          <w:lang w:val="en-GB"/>
        </w:rPr>
        <w:t xml:space="preserve"> that the case is outside the jurisdiction of EULEX.</w:t>
      </w:r>
    </w:p>
    <w:p w14:paraId="73624A09" w14:textId="77777777" w:rsidR="00766B4B" w:rsidRDefault="00766B4B" w:rsidP="00B9111F">
      <w:pPr>
        <w:pStyle w:val="ListParagraph"/>
        <w:rPr>
          <w:rFonts w:ascii="Arial" w:hAnsi="Arial" w:cs="Arial"/>
          <w:color w:val="000000"/>
          <w:sz w:val="22"/>
          <w:szCs w:val="22"/>
          <w:lang w:val="en-GB"/>
        </w:rPr>
      </w:pPr>
    </w:p>
    <w:p w14:paraId="1CBF1DBA" w14:textId="77777777" w:rsidR="00766B4B" w:rsidRPr="00B44582" w:rsidRDefault="00766B4B" w:rsidP="00B44582">
      <w:pPr>
        <w:numPr>
          <w:ilvl w:val="0"/>
          <w:numId w:val="15"/>
        </w:numPr>
        <w:tabs>
          <w:tab w:val="clear" w:pos="720"/>
          <w:tab w:val="num" w:pos="0"/>
        </w:tabs>
        <w:suppressAutoHyphens/>
        <w:autoSpaceDE w:val="0"/>
        <w:autoSpaceDN w:val="0"/>
        <w:adjustRightInd w:val="0"/>
        <w:ind w:left="0" w:hanging="709"/>
        <w:jc w:val="both"/>
        <w:rPr>
          <w:rFonts w:ascii="Arial" w:hAnsi="Arial" w:cs="Arial"/>
          <w:b/>
          <w:bCs/>
          <w:iCs/>
          <w:sz w:val="22"/>
          <w:szCs w:val="22"/>
          <w:lang w:val="en-GB"/>
        </w:rPr>
      </w:pPr>
      <w:r w:rsidRPr="00B44582">
        <w:rPr>
          <w:rFonts w:ascii="Arial" w:hAnsi="Arial" w:cs="Arial"/>
          <w:color w:val="000000"/>
          <w:sz w:val="22"/>
          <w:szCs w:val="22"/>
          <w:lang w:val="en-GB"/>
        </w:rPr>
        <w:t>They also maintained that, contrary to the HoM’s assertions, their representatives had never been contacted by EULEX.</w:t>
      </w:r>
    </w:p>
    <w:p w14:paraId="6AE4361E" w14:textId="77777777" w:rsidR="00766B4B" w:rsidRDefault="00766B4B" w:rsidP="00B44582">
      <w:pPr>
        <w:pStyle w:val="ListParagraph"/>
        <w:rPr>
          <w:rFonts w:ascii="Arial" w:hAnsi="Arial" w:cs="Arial"/>
          <w:color w:val="000000"/>
          <w:sz w:val="22"/>
          <w:szCs w:val="22"/>
          <w:lang w:val="en-GB"/>
        </w:rPr>
      </w:pPr>
    </w:p>
    <w:p w14:paraId="4FFD1D06" w14:textId="77777777" w:rsidR="00766B4B" w:rsidRPr="000646DB" w:rsidRDefault="00766B4B" w:rsidP="000646DB">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sidRPr="00B44582">
        <w:rPr>
          <w:rFonts w:ascii="Arial" w:hAnsi="Arial" w:cs="Arial"/>
          <w:color w:val="000000"/>
          <w:sz w:val="22"/>
          <w:szCs w:val="22"/>
          <w:lang w:val="en-GB"/>
        </w:rPr>
        <w:t>In their opinion, the investigation failed the European standards of due diligence</w:t>
      </w:r>
      <w:r>
        <w:rPr>
          <w:rFonts w:ascii="Arial" w:hAnsi="Arial" w:cs="Arial"/>
          <w:b/>
          <w:bCs/>
          <w:iCs/>
          <w:sz w:val="22"/>
          <w:szCs w:val="22"/>
          <w:lang w:val="en-GB"/>
        </w:rPr>
        <w:t xml:space="preserve"> </w:t>
      </w:r>
      <w:r w:rsidRPr="000646DB">
        <w:rPr>
          <w:rFonts w:ascii="Arial" w:hAnsi="Arial" w:cs="Arial"/>
          <w:bCs/>
          <w:iCs/>
          <w:sz w:val="22"/>
          <w:szCs w:val="22"/>
          <w:lang w:val="en-GB"/>
        </w:rPr>
        <w:t>while investigating the case.</w:t>
      </w:r>
    </w:p>
    <w:p w14:paraId="3C4F6066" w14:textId="77777777" w:rsidR="00766B4B" w:rsidRDefault="00766B4B" w:rsidP="000646DB">
      <w:pPr>
        <w:suppressAutoHyphens/>
        <w:autoSpaceDE w:val="0"/>
        <w:autoSpaceDN w:val="0"/>
        <w:adjustRightInd w:val="0"/>
        <w:jc w:val="both"/>
        <w:rPr>
          <w:rFonts w:ascii="Arial" w:hAnsi="Arial" w:cs="Arial"/>
          <w:iCs/>
          <w:sz w:val="22"/>
          <w:szCs w:val="22"/>
          <w:lang w:val="en-GB"/>
        </w:rPr>
      </w:pPr>
    </w:p>
    <w:p w14:paraId="7E3AB827" w14:textId="77777777" w:rsidR="00350D74" w:rsidRDefault="00350D74" w:rsidP="000646DB">
      <w:pPr>
        <w:suppressAutoHyphens/>
        <w:autoSpaceDE w:val="0"/>
        <w:autoSpaceDN w:val="0"/>
        <w:adjustRightInd w:val="0"/>
        <w:jc w:val="both"/>
        <w:rPr>
          <w:rFonts w:ascii="Arial" w:hAnsi="Arial" w:cs="Arial"/>
          <w:iCs/>
          <w:sz w:val="22"/>
          <w:szCs w:val="22"/>
          <w:lang w:val="en-GB"/>
        </w:rPr>
      </w:pPr>
    </w:p>
    <w:p w14:paraId="2DB7B76A" w14:textId="77777777" w:rsidR="00350D74" w:rsidRPr="000646DB" w:rsidRDefault="00350D74" w:rsidP="000646DB">
      <w:pPr>
        <w:suppressAutoHyphens/>
        <w:autoSpaceDE w:val="0"/>
        <w:autoSpaceDN w:val="0"/>
        <w:adjustRightInd w:val="0"/>
        <w:jc w:val="both"/>
        <w:rPr>
          <w:rFonts w:ascii="Arial" w:hAnsi="Arial" w:cs="Arial"/>
          <w:iCs/>
          <w:sz w:val="22"/>
          <w:szCs w:val="22"/>
          <w:lang w:val="en-GB"/>
        </w:rPr>
      </w:pPr>
    </w:p>
    <w:p w14:paraId="4C31EE23" w14:textId="77777777" w:rsidR="00766B4B" w:rsidRDefault="00766B4B" w:rsidP="000646DB">
      <w:pPr>
        <w:pStyle w:val="ListParagraph"/>
        <w:rPr>
          <w:rFonts w:ascii="Arial" w:hAnsi="Arial" w:cs="Arial"/>
          <w:iCs/>
          <w:sz w:val="22"/>
          <w:szCs w:val="22"/>
          <w:lang w:val="en-GB"/>
        </w:rPr>
      </w:pPr>
    </w:p>
    <w:p w14:paraId="3289A0B0" w14:textId="77777777" w:rsidR="00766B4B" w:rsidRPr="000646DB" w:rsidRDefault="00766B4B" w:rsidP="000646DB">
      <w:pPr>
        <w:suppressAutoHyphens/>
        <w:autoSpaceDE w:val="0"/>
        <w:autoSpaceDN w:val="0"/>
        <w:adjustRightInd w:val="0"/>
        <w:jc w:val="both"/>
        <w:rPr>
          <w:rFonts w:ascii="Arial" w:hAnsi="Arial" w:cs="Arial"/>
          <w:iCs/>
          <w:sz w:val="22"/>
          <w:szCs w:val="22"/>
          <w:lang w:val="en-GB"/>
        </w:rPr>
      </w:pPr>
      <w:r w:rsidRPr="000646DB">
        <w:rPr>
          <w:rFonts w:ascii="Arial" w:hAnsi="Arial" w:cs="Arial"/>
          <w:b/>
          <w:bCs/>
          <w:iCs/>
          <w:sz w:val="22"/>
          <w:szCs w:val="22"/>
          <w:lang w:val="en-GB"/>
        </w:rPr>
        <w:t>IV.</w:t>
      </w:r>
      <w:r w:rsidRPr="000646DB">
        <w:rPr>
          <w:rFonts w:ascii="Arial" w:hAnsi="Arial" w:cs="Arial"/>
          <w:b/>
          <w:bCs/>
          <w:iCs/>
          <w:sz w:val="22"/>
          <w:szCs w:val="22"/>
          <w:lang w:val="en-GB"/>
        </w:rPr>
        <w:tab/>
        <w:t>EVALUATION BY THE PANEL</w:t>
      </w:r>
    </w:p>
    <w:p w14:paraId="64E64FF6" w14:textId="77777777" w:rsidR="00766B4B" w:rsidRDefault="00766B4B" w:rsidP="000646DB">
      <w:pPr>
        <w:suppressAutoHyphens/>
        <w:autoSpaceDE w:val="0"/>
        <w:autoSpaceDN w:val="0"/>
        <w:adjustRightInd w:val="0"/>
        <w:jc w:val="both"/>
        <w:rPr>
          <w:rFonts w:ascii="Arial" w:hAnsi="Arial" w:cs="Arial"/>
          <w:iCs/>
          <w:sz w:val="22"/>
          <w:szCs w:val="22"/>
          <w:lang w:val="en-GB"/>
        </w:rPr>
      </w:pPr>
    </w:p>
    <w:p w14:paraId="729669E7" w14:textId="77777777" w:rsidR="00766B4B" w:rsidRDefault="00766B4B" w:rsidP="000646DB">
      <w:pPr>
        <w:pStyle w:val="ListParagraph"/>
        <w:rPr>
          <w:rFonts w:ascii="Arial" w:hAnsi="Arial" w:cs="Arial"/>
          <w:bCs/>
          <w:sz w:val="22"/>
          <w:szCs w:val="22"/>
          <w:lang w:val="en-GB"/>
        </w:rPr>
      </w:pPr>
    </w:p>
    <w:p w14:paraId="0F69C572" w14:textId="77777777" w:rsidR="00766B4B" w:rsidRPr="000646DB" w:rsidRDefault="00766B4B" w:rsidP="000646DB">
      <w:pPr>
        <w:numPr>
          <w:ilvl w:val="0"/>
          <w:numId w:val="15"/>
        </w:numPr>
        <w:tabs>
          <w:tab w:val="clear" w:pos="720"/>
          <w:tab w:val="num" w:pos="0"/>
        </w:tabs>
        <w:suppressAutoHyphens/>
        <w:autoSpaceDE w:val="0"/>
        <w:autoSpaceDN w:val="0"/>
        <w:adjustRightInd w:val="0"/>
        <w:ind w:left="0" w:hanging="709"/>
        <w:jc w:val="both"/>
        <w:rPr>
          <w:rFonts w:ascii="Arial" w:hAnsi="Arial" w:cs="Arial"/>
          <w:iCs/>
          <w:sz w:val="22"/>
          <w:szCs w:val="22"/>
          <w:lang w:val="en-GB"/>
        </w:rPr>
      </w:pPr>
      <w:r w:rsidRPr="000646DB">
        <w:rPr>
          <w:rFonts w:ascii="Arial" w:hAnsi="Arial" w:cs="Arial"/>
          <w:bCs/>
          <w:sz w:val="22"/>
          <w:szCs w:val="22"/>
          <w:lang w:val="en-GB"/>
        </w:rPr>
        <w:t xml:space="preserve">The Panel takes note of the steps taken by the HoM to implement the Panel’s recommendations. </w:t>
      </w:r>
    </w:p>
    <w:p w14:paraId="67C86A12" w14:textId="77777777" w:rsidR="00766B4B" w:rsidRPr="000646DB" w:rsidRDefault="00766B4B" w:rsidP="000646DB">
      <w:pPr>
        <w:suppressAutoHyphens/>
        <w:autoSpaceDE w:val="0"/>
        <w:autoSpaceDN w:val="0"/>
        <w:adjustRightInd w:val="0"/>
        <w:jc w:val="both"/>
        <w:rPr>
          <w:rFonts w:ascii="Arial" w:hAnsi="Arial" w:cs="Arial"/>
          <w:iCs/>
          <w:sz w:val="22"/>
          <w:szCs w:val="22"/>
          <w:lang w:val="en-GB"/>
        </w:rPr>
      </w:pPr>
    </w:p>
    <w:p w14:paraId="0E9A3592" w14:textId="5C1663D9" w:rsidR="00766B4B" w:rsidRDefault="00766B4B" w:rsidP="00B9111F">
      <w:pPr>
        <w:numPr>
          <w:ilvl w:val="0"/>
          <w:numId w:val="15"/>
        </w:numPr>
        <w:tabs>
          <w:tab w:val="clear" w:pos="720"/>
          <w:tab w:val="num" w:pos="0"/>
        </w:tabs>
        <w:suppressAutoHyphens/>
        <w:autoSpaceDE w:val="0"/>
        <w:autoSpaceDN w:val="0"/>
        <w:adjustRightInd w:val="0"/>
        <w:ind w:left="0" w:hanging="709"/>
        <w:jc w:val="both"/>
        <w:rPr>
          <w:rFonts w:ascii="Arial" w:hAnsi="Arial" w:cs="Arial"/>
          <w:bCs/>
          <w:i/>
          <w:sz w:val="22"/>
          <w:szCs w:val="22"/>
          <w:lang w:val="en-GB"/>
        </w:rPr>
      </w:pPr>
      <w:r>
        <w:rPr>
          <w:rFonts w:ascii="Arial" w:hAnsi="Arial" w:cs="Arial"/>
          <w:bCs/>
          <w:sz w:val="22"/>
          <w:szCs w:val="22"/>
          <w:lang w:val="en-GB"/>
        </w:rPr>
        <w:t xml:space="preserve">The </w:t>
      </w:r>
      <w:r w:rsidRPr="00CD0CAC">
        <w:rPr>
          <w:rFonts w:ascii="Arial" w:hAnsi="Arial" w:cs="Arial"/>
          <w:bCs/>
          <w:sz w:val="22"/>
          <w:szCs w:val="22"/>
          <w:lang w:val="en-GB"/>
        </w:rPr>
        <w:t>Panel is satisfied that the HoM implemented its recommendation to enquire with the local authorities whether the investigation in the case was ongoing</w:t>
      </w:r>
      <w:r w:rsidR="005A35A4">
        <w:rPr>
          <w:rFonts w:ascii="Arial" w:hAnsi="Arial" w:cs="Arial"/>
          <w:bCs/>
          <w:sz w:val="22"/>
          <w:szCs w:val="22"/>
          <w:lang w:val="en-GB"/>
        </w:rPr>
        <w:t xml:space="preserve">. </w:t>
      </w:r>
      <w:r w:rsidRPr="00CD0CAC">
        <w:rPr>
          <w:rFonts w:ascii="Arial" w:hAnsi="Arial" w:cs="Arial"/>
          <w:bCs/>
          <w:sz w:val="22"/>
          <w:szCs w:val="22"/>
          <w:lang w:val="en-GB"/>
        </w:rPr>
        <w:t xml:space="preserve"> </w:t>
      </w:r>
      <w:r w:rsidR="005A35A4">
        <w:rPr>
          <w:rFonts w:ascii="Arial" w:hAnsi="Arial" w:cs="Arial"/>
          <w:bCs/>
          <w:sz w:val="22"/>
          <w:szCs w:val="22"/>
          <w:lang w:val="en-GB"/>
        </w:rPr>
        <w:t xml:space="preserve">It is noted in this context that the case was first brought to the attention of the Kosovo prosecuting authorities almost two years ago, in November 2013. </w:t>
      </w:r>
      <w:r w:rsidR="00DE7418">
        <w:rPr>
          <w:rFonts w:ascii="Arial" w:hAnsi="Arial" w:cs="Arial"/>
          <w:bCs/>
          <w:sz w:val="22"/>
          <w:szCs w:val="22"/>
          <w:lang w:val="en-GB"/>
        </w:rPr>
        <w:t xml:space="preserve"> N</w:t>
      </w:r>
      <w:r w:rsidR="005A35A4">
        <w:rPr>
          <w:rFonts w:ascii="Arial" w:hAnsi="Arial" w:cs="Arial"/>
          <w:bCs/>
          <w:sz w:val="22"/>
          <w:szCs w:val="22"/>
          <w:lang w:val="en-GB"/>
        </w:rPr>
        <w:t xml:space="preserve">o information has been provided to the Panel </w:t>
      </w:r>
      <w:r w:rsidR="00DE7418">
        <w:rPr>
          <w:rFonts w:ascii="Arial" w:hAnsi="Arial" w:cs="Arial"/>
          <w:bCs/>
          <w:sz w:val="22"/>
          <w:szCs w:val="22"/>
          <w:lang w:val="en-GB"/>
        </w:rPr>
        <w:t xml:space="preserve">by the Head of Mission </w:t>
      </w:r>
      <w:r w:rsidR="005A35A4">
        <w:rPr>
          <w:rFonts w:ascii="Arial" w:hAnsi="Arial" w:cs="Arial"/>
          <w:bCs/>
          <w:sz w:val="22"/>
          <w:szCs w:val="22"/>
          <w:lang w:val="en-GB"/>
        </w:rPr>
        <w:t xml:space="preserve">as to whether there was any evidence taken during the investigation conducted by the Kosovo prosecuting authorities, including questioning of witnesses. </w:t>
      </w:r>
      <w:r w:rsidR="00DE7418">
        <w:rPr>
          <w:rFonts w:ascii="Arial" w:hAnsi="Arial" w:cs="Arial"/>
          <w:bCs/>
          <w:sz w:val="22"/>
          <w:szCs w:val="22"/>
          <w:lang w:val="en-GB"/>
        </w:rPr>
        <w:t xml:space="preserve">Likewise, </w:t>
      </w:r>
      <w:r w:rsidR="005A35A4">
        <w:rPr>
          <w:rFonts w:ascii="Arial" w:hAnsi="Arial" w:cs="Arial"/>
          <w:bCs/>
          <w:sz w:val="22"/>
          <w:szCs w:val="22"/>
          <w:lang w:val="en-GB"/>
        </w:rPr>
        <w:t xml:space="preserve">no information has been provided as to the possible timeframe within which the case may be finalised. </w:t>
      </w:r>
      <w:r w:rsidR="0028445A">
        <w:rPr>
          <w:rFonts w:ascii="Arial" w:hAnsi="Arial" w:cs="Arial"/>
          <w:bCs/>
          <w:sz w:val="22"/>
          <w:szCs w:val="22"/>
          <w:lang w:val="en-GB"/>
        </w:rPr>
        <w:t xml:space="preserve">Nor has it been established that victims were involved meaningfully in the ongoing process of investigation. </w:t>
      </w:r>
      <w:r w:rsidR="005A35A4">
        <w:rPr>
          <w:rFonts w:ascii="Arial" w:hAnsi="Arial" w:cs="Arial"/>
          <w:bCs/>
          <w:sz w:val="22"/>
          <w:szCs w:val="22"/>
          <w:lang w:val="en-GB"/>
        </w:rPr>
        <w:t xml:space="preserve">It has not therefore been shown to the Panel’s satisfaction that there has been </w:t>
      </w:r>
      <w:r w:rsidR="005A35A4" w:rsidRPr="00CD0CAC">
        <w:rPr>
          <w:rFonts w:ascii="Arial" w:hAnsi="Arial" w:cs="Arial"/>
          <w:bCs/>
          <w:sz w:val="22"/>
          <w:szCs w:val="22"/>
          <w:lang w:val="en-GB"/>
        </w:rPr>
        <w:t xml:space="preserve">real progress in the </w:t>
      </w:r>
      <w:r w:rsidR="005A35A4">
        <w:rPr>
          <w:rFonts w:ascii="Arial" w:hAnsi="Arial" w:cs="Arial"/>
          <w:bCs/>
          <w:sz w:val="22"/>
          <w:szCs w:val="22"/>
          <w:lang w:val="en-GB"/>
        </w:rPr>
        <w:t xml:space="preserve">investigation. </w:t>
      </w:r>
      <w:r w:rsidR="005A35A4" w:rsidRPr="00CD0CAC">
        <w:rPr>
          <w:rFonts w:ascii="Arial" w:hAnsi="Arial" w:cs="Arial"/>
          <w:bCs/>
          <w:sz w:val="22"/>
          <w:szCs w:val="22"/>
          <w:lang w:val="en-GB"/>
        </w:rPr>
        <w:t xml:space="preserve"> </w:t>
      </w:r>
      <w:r>
        <w:rPr>
          <w:rFonts w:ascii="Arial" w:hAnsi="Arial" w:cs="Arial"/>
          <w:bCs/>
          <w:sz w:val="22"/>
          <w:szCs w:val="22"/>
          <w:lang w:val="en-GB"/>
        </w:rPr>
        <w:t xml:space="preserve">In those circumstances, the </w:t>
      </w:r>
      <w:r w:rsidR="00DE7418">
        <w:rPr>
          <w:rFonts w:ascii="Arial" w:hAnsi="Arial" w:cs="Arial"/>
          <w:bCs/>
          <w:sz w:val="22"/>
          <w:szCs w:val="22"/>
          <w:lang w:val="en-GB"/>
        </w:rPr>
        <w:t xml:space="preserve">complainant’s </w:t>
      </w:r>
      <w:r>
        <w:rPr>
          <w:rFonts w:ascii="Arial" w:hAnsi="Arial" w:cs="Arial"/>
          <w:bCs/>
          <w:sz w:val="22"/>
          <w:szCs w:val="22"/>
          <w:lang w:val="en-GB"/>
        </w:rPr>
        <w:t xml:space="preserve">right to an effective remedy pursuant to Article 13 of the Convention still appears to be affected by the absence of a demonstrable effort to promptly and effectively investigate this case.  </w:t>
      </w:r>
    </w:p>
    <w:p w14:paraId="4D05CD46" w14:textId="77777777" w:rsidR="00766B4B" w:rsidRDefault="00766B4B" w:rsidP="00B9111F">
      <w:pPr>
        <w:pStyle w:val="ListParagraph"/>
        <w:rPr>
          <w:rFonts w:ascii="Arial" w:hAnsi="Arial" w:cs="Arial"/>
          <w:bCs/>
          <w:sz w:val="22"/>
          <w:szCs w:val="22"/>
          <w:lang w:val="en-GB"/>
        </w:rPr>
      </w:pPr>
    </w:p>
    <w:p w14:paraId="72A0C8D9" w14:textId="6A51615C" w:rsidR="00766B4B" w:rsidRPr="00B9111F" w:rsidRDefault="00766B4B" w:rsidP="00B9111F">
      <w:pPr>
        <w:numPr>
          <w:ilvl w:val="0"/>
          <w:numId w:val="15"/>
        </w:numPr>
        <w:tabs>
          <w:tab w:val="clear" w:pos="720"/>
          <w:tab w:val="num" w:pos="0"/>
        </w:tabs>
        <w:suppressAutoHyphens/>
        <w:autoSpaceDE w:val="0"/>
        <w:autoSpaceDN w:val="0"/>
        <w:adjustRightInd w:val="0"/>
        <w:ind w:left="0" w:hanging="709"/>
        <w:jc w:val="both"/>
        <w:rPr>
          <w:rFonts w:ascii="Arial" w:hAnsi="Arial" w:cs="Arial"/>
          <w:bCs/>
          <w:i/>
          <w:sz w:val="22"/>
          <w:szCs w:val="22"/>
          <w:lang w:val="en-GB"/>
        </w:rPr>
      </w:pPr>
      <w:r w:rsidRPr="00B9111F">
        <w:rPr>
          <w:rFonts w:ascii="Arial" w:hAnsi="Arial" w:cs="Arial"/>
          <w:bCs/>
          <w:sz w:val="22"/>
          <w:szCs w:val="22"/>
          <w:lang w:val="en-GB"/>
        </w:rPr>
        <w:lastRenderedPageBreak/>
        <w:t>Further</w:t>
      </w:r>
      <w:r>
        <w:rPr>
          <w:rFonts w:ascii="Arial" w:hAnsi="Arial" w:cs="Arial"/>
          <w:bCs/>
          <w:sz w:val="22"/>
          <w:szCs w:val="22"/>
          <w:lang w:val="en-GB"/>
        </w:rPr>
        <w:t>more</w:t>
      </w:r>
      <w:r w:rsidRPr="00B9111F">
        <w:rPr>
          <w:rFonts w:ascii="Arial" w:hAnsi="Arial" w:cs="Arial"/>
          <w:bCs/>
          <w:sz w:val="22"/>
          <w:szCs w:val="22"/>
          <w:lang w:val="en-GB"/>
        </w:rPr>
        <w:t xml:space="preserve">, the Panel notes the decision of the Chief State Prosecutor of Kosovo and </w:t>
      </w:r>
      <w:r w:rsidR="00474888">
        <w:rPr>
          <w:rFonts w:ascii="Arial" w:hAnsi="Arial" w:cs="Arial"/>
          <w:bCs/>
          <w:sz w:val="22"/>
          <w:szCs w:val="22"/>
          <w:lang w:val="en-GB"/>
        </w:rPr>
        <w:t xml:space="preserve">the </w:t>
      </w:r>
      <w:r w:rsidRPr="00B9111F">
        <w:rPr>
          <w:rFonts w:ascii="Arial" w:hAnsi="Arial" w:cs="Arial"/>
          <w:bCs/>
          <w:sz w:val="22"/>
          <w:szCs w:val="22"/>
          <w:lang w:val="en-GB"/>
        </w:rPr>
        <w:t xml:space="preserve">Chief EULEX Prosecutor not to assign the case to a EULEX </w:t>
      </w:r>
      <w:r w:rsidR="00474888">
        <w:rPr>
          <w:rFonts w:ascii="Arial" w:hAnsi="Arial" w:cs="Arial"/>
          <w:bCs/>
          <w:sz w:val="22"/>
          <w:szCs w:val="22"/>
          <w:lang w:val="en-GB"/>
        </w:rPr>
        <w:t>P</w:t>
      </w:r>
      <w:r w:rsidRPr="00B9111F">
        <w:rPr>
          <w:rFonts w:ascii="Arial" w:hAnsi="Arial" w:cs="Arial"/>
          <w:bCs/>
          <w:sz w:val="22"/>
          <w:szCs w:val="22"/>
          <w:lang w:val="en-GB"/>
        </w:rPr>
        <w:t xml:space="preserve">rosecutor. The Panel considers that </w:t>
      </w:r>
      <w:r>
        <w:rPr>
          <w:rFonts w:ascii="Arial" w:hAnsi="Arial" w:cs="Arial"/>
          <w:bCs/>
          <w:sz w:val="22"/>
          <w:szCs w:val="22"/>
          <w:lang w:val="en-GB"/>
        </w:rPr>
        <w:t>the effectiveness of the investigation would have been greatly increased</w:t>
      </w:r>
      <w:r w:rsidRPr="00B9111F">
        <w:rPr>
          <w:rFonts w:ascii="Arial" w:hAnsi="Arial" w:cs="Arial"/>
          <w:bCs/>
          <w:sz w:val="22"/>
          <w:szCs w:val="22"/>
          <w:lang w:val="en-GB"/>
        </w:rPr>
        <w:t xml:space="preserve"> if it could </w:t>
      </w:r>
      <w:r>
        <w:rPr>
          <w:rFonts w:ascii="Arial" w:hAnsi="Arial" w:cs="Arial"/>
          <w:bCs/>
          <w:sz w:val="22"/>
          <w:szCs w:val="22"/>
          <w:lang w:val="en-GB"/>
        </w:rPr>
        <w:t>have drawn</w:t>
      </w:r>
      <w:r w:rsidRPr="00B9111F">
        <w:rPr>
          <w:rFonts w:ascii="Arial" w:hAnsi="Arial" w:cs="Arial"/>
          <w:bCs/>
          <w:sz w:val="22"/>
          <w:szCs w:val="22"/>
          <w:lang w:val="en-GB"/>
        </w:rPr>
        <w:t xml:space="preserve"> </w:t>
      </w:r>
      <w:r>
        <w:rPr>
          <w:rFonts w:ascii="Arial" w:hAnsi="Arial" w:cs="Arial"/>
          <w:bCs/>
          <w:sz w:val="22"/>
          <w:szCs w:val="22"/>
          <w:lang w:val="en-GB"/>
        </w:rPr>
        <w:t>upon</w:t>
      </w:r>
      <w:r w:rsidRPr="00B9111F">
        <w:rPr>
          <w:rFonts w:ascii="Arial" w:hAnsi="Arial" w:cs="Arial"/>
          <w:bCs/>
          <w:sz w:val="22"/>
          <w:szCs w:val="22"/>
          <w:lang w:val="en-GB"/>
        </w:rPr>
        <w:t xml:space="preserve"> EULEX’s expertise and resources. </w:t>
      </w:r>
    </w:p>
    <w:p w14:paraId="1D46258B" w14:textId="77777777" w:rsidR="00766B4B" w:rsidRDefault="00766B4B" w:rsidP="00B9111F">
      <w:pPr>
        <w:pStyle w:val="ListParagraph"/>
        <w:rPr>
          <w:rFonts w:ascii="Arial" w:hAnsi="Arial" w:cs="Arial"/>
          <w:bCs/>
          <w:sz w:val="22"/>
          <w:szCs w:val="22"/>
          <w:lang w:val="en-GB"/>
        </w:rPr>
      </w:pPr>
    </w:p>
    <w:p w14:paraId="271B10F3" w14:textId="77777777" w:rsidR="00DE7418" w:rsidRPr="005326AD" w:rsidRDefault="00766B4B" w:rsidP="00B9111F">
      <w:pPr>
        <w:numPr>
          <w:ilvl w:val="0"/>
          <w:numId w:val="15"/>
        </w:numPr>
        <w:tabs>
          <w:tab w:val="clear" w:pos="720"/>
          <w:tab w:val="num" w:pos="0"/>
        </w:tabs>
        <w:suppressAutoHyphens/>
        <w:autoSpaceDE w:val="0"/>
        <w:autoSpaceDN w:val="0"/>
        <w:adjustRightInd w:val="0"/>
        <w:ind w:left="0" w:hanging="709"/>
        <w:jc w:val="both"/>
        <w:rPr>
          <w:rFonts w:ascii="Arial" w:hAnsi="Arial" w:cs="Arial"/>
          <w:bCs/>
          <w:i/>
          <w:sz w:val="22"/>
          <w:szCs w:val="22"/>
          <w:lang w:val="en-GB"/>
        </w:rPr>
      </w:pPr>
      <w:r w:rsidRPr="00B9111F">
        <w:rPr>
          <w:rFonts w:ascii="Arial" w:hAnsi="Arial" w:cs="Arial"/>
          <w:bCs/>
          <w:sz w:val="22"/>
          <w:szCs w:val="22"/>
          <w:lang w:val="en-GB"/>
        </w:rPr>
        <w:t xml:space="preserve">In view of the above, the Panel considers </w:t>
      </w:r>
      <w:r>
        <w:rPr>
          <w:rFonts w:ascii="Arial" w:hAnsi="Arial" w:cs="Arial"/>
          <w:bCs/>
          <w:sz w:val="22"/>
          <w:szCs w:val="22"/>
          <w:lang w:val="en-GB"/>
        </w:rPr>
        <w:t>that the</w:t>
      </w:r>
      <w:r w:rsidRPr="00B9111F">
        <w:rPr>
          <w:rFonts w:ascii="Arial" w:hAnsi="Arial" w:cs="Arial"/>
          <w:bCs/>
          <w:sz w:val="22"/>
          <w:szCs w:val="22"/>
          <w:lang w:val="en-GB"/>
        </w:rPr>
        <w:t xml:space="preserve"> steps </w:t>
      </w:r>
      <w:r>
        <w:rPr>
          <w:rFonts w:ascii="Arial" w:hAnsi="Arial" w:cs="Arial"/>
          <w:bCs/>
          <w:sz w:val="22"/>
          <w:szCs w:val="22"/>
          <w:lang w:val="en-GB"/>
        </w:rPr>
        <w:t xml:space="preserve">taken so far by the Mission have not been such as to ensure that the right of the complainants to an effective remedy is being effectively protected. Whilst the Panel needs not decide the matter </w:t>
      </w:r>
      <w:r w:rsidR="005A35A4">
        <w:rPr>
          <w:rFonts w:ascii="Arial" w:hAnsi="Arial" w:cs="Arial"/>
          <w:bCs/>
          <w:sz w:val="22"/>
          <w:szCs w:val="22"/>
          <w:lang w:val="en-GB"/>
        </w:rPr>
        <w:t>at this point</w:t>
      </w:r>
      <w:r>
        <w:rPr>
          <w:rFonts w:ascii="Arial" w:hAnsi="Arial" w:cs="Arial"/>
          <w:bCs/>
          <w:sz w:val="22"/>
          <w:szCs w:val="22"/>
          <w:lang w:val="en-GB"/>
        </w:rPr>
        <w:t xml:space="preserve">, it notes that the </w:t>
      </w:r>
      <w:r w:rsidR="005A35A4">
        <w:rPr>
          <w:rFonts w:ascii="Arial" w:hAnsi="Arial" w:cs="Arial"/>
          <w:bCs/>
          <w:sz w:val="22"/>
          <w:szCs w:val="22"/>
          <w:lang w:val="en-GB"/>
        </w:rPr>
        <w:t xml:space="preserve">apparent </w:t>
      </w:r>
      <w:r>
        <w:rPr>
          <w:rFonts w:ascii="Arial" w:hAnsi="Arial" w:cs="Arial"/>
          <w:bCs/>
          <w:sz w:val="22"/>
          <w:szCs w:val="22"/>
          <w:lang w:val="en-GB"/>
        </w:rPr>
        <w:t>failure of the Kosovo authorities to diligently and effectively investigate the matter might be regarded, for the purpose of Article 13 of the Convention, as “extraordinary circumstances” (Article 7A) justifying the Mission taking over the responsibility over that case.</w:t>
      </w:r>
      <w:r w:rsidR="00CD7B58">
        <w:rPr>
          <w:rFonts w:ascii="Arial" w:hAnsi="Arial" w:cs="Arial"/>
          <w:bCs/>
          <w:sz w:val="22"/>
          <w:szCs w:val="22"/>
          <w:lang w:val="en-GB"/>
        </w:rPr>
        <w:t xml:space="preserve"> </w:t>
      </w:r>
    </w:p>
    <w:p w14:paraId="546610BE" w14:textId="77777777" w:rsidR="00DE7418" w:rsidRDefault="00DE7418" w:rsidP="005326AD">
      <w:pPr>
        <w:pStyle w:val="ListParagraph"/>
        <w:rPr>
          <w:rFonts w:ascii="Arial" w:hAnsi="Arial" w:cs="Arial"/>
          <w:bCs/>
          <w:sz w:val="22"/>
          <w:szCs w:val="22"/>
          <w:lang w:val="en-GB"/>
        </w:rPr>
      </w:pPr>
    </w:p>
    <w:p w14:paraId="6A9D3A63" w14:textId="77777777" w:rsidR="00766B4B" w:rsidRPr="005326AD" w:rsidRDefault="00766B4B" w:rsidP="00B9111F">
      <w:pPr>
        <w:numPr>
          <w:ilvl w:val="0"/>
          <w:numId w:val="15"/>
        </w:numPr>
        <w:tabs>
          <w:tab w:val="clear" w:pos="720"/>
          <w:tab w:val="num" w:pos="0"/>
        </w:tabs>
        <w:suppressAutoHyphens/>
        <w:autoSpaceDE w:val="0"/>
        <w:autoSpaceDN w:val="0"/>
        <w:adjustRightInd w:val="0"/>
        <w:ind w:left="0" w:hanging="709"/>
        <w:jc w:val="both"/>
        <w:rPr>
          <w:rFonts w:ascii="Arial" w:hAnsi="Arial" w:cs="Arial"/>
          <w:bCs/>
          <w:i/>
          <w:sz w:val="22"/>
          <w:szCs w:val="22"/>
          <w:lang w:val="en-GB"/>
        </w:rPr>
      </w:pPr>
      <w:r>
        <w:rPr>
          <w:rFonts w:ascii="Arial" w:hAnsi="Arial" w:cs="Arial"/>
          <w:bCs/>
          <w:sz w:val="22"/>
          <w:szCs w:val="22"/>
          <w:lang w:val="en-GB"/>
        </w:rPr>
        <w:t>The Panel therefore invites the Mission to continue liaising with the competent Kosovo authorities with a view to following up on the progress of this case.</w:t>
      </w:r>
    </w:p>
    <w:p w14:paraId="2CD5E15A" w14:textId="77777777" w:rsidR="00DE7418" w:rsidRDefault="00DE7418" w:rsidP="005326AD">
      <w:pPr>
        <w:pStyle w:val="ListParagraph"/>
        <w:rPr>
          <w:rFonts w:ascii="Arial" w:hAnsi="Arial" w:cs="Arial"/>
          <w:bCs/>
          <w:i/>
          <w:sz w:val="22"/>
          <w:szCs w:val="22"/>
          <w:lang w:val="en-GB"/>
        </w:rPr>
      </w:pPr>
    </w:p>
    <w:p w14:paraId="2432F710" w14:textId="4F10E8CD" w:rsidR="00DE7418" w:rsidRPr="00350D74" w:rsidRDefault="00DE7418" w:rsidP="00B9111F">
      <w:pPr>
        <w:numPr>
          <w:ilvl w:val="0"/>
          <w:numId w:val="15"/>
        </w:numPr>
        <w:tabs>
          <w:tab w:val="clear" w:pos="720"/>
          <w:tab w:val="num" w:pos="0"/>
        </w:tabs>
        <w:suppressAutoHyphens/>
        <w:autoSpaceDE w:val="0"/>
        <w:autoSpaceDN w:val="0"/>
        <w:adjustRightInd w:val="0"/>
        <w:ind w:left="0" w:hanging="709"/>
        <w:jc w:val="both"/>
        <w:rPr>
          <w:rFonts w:ascii="Arial" w:hAnsi="Arial" w:cs="Arial"/>
          <w:bCs/>
          <w:sz w:val="22"/>
          <w:szCs w:val="22"/>
          <w:lang w:val="en-GB"/>
        </w:rPr>
      </w:pPr>
      <w:r w:rsidRPr="00350D74">
        <w:rPr>
          <w:rFonts w:ascii="Arial" w:hAnsi="Arial" w:cs="Arial"/>
          <w:bCs/>
          <w:sz w:val="22"/>
          <w:szCs w:val="22"/>
          <w:lang w:val="en-GB"/>
        </w:rPr>
        <w:t xml:space="preserve">The Panel further invites the Head of the Mission to provide information on the manner in which the notion of </w:t>
      </w:r>
      <w:r w:rsidR="0028445A">
        <w:rPr>
          <w:rFonts w:ascii="Arial" w:hAnsi="Arial" w:cs="Arial"/>
          <w:bCs/>
          <w:sz w:val="22"/>
          <w:szCs w:val="22"/>
          <w:lang w:val="en-GB"/>
        </w:rPr>
        <w:t>“</w:t>
      </w:r>
      <w:r w:rsidRPr="00350D74">
        <w:rPr>
          <w:rFonts w:ascii="Arial" w:hAnsi="Arial" w:cs="Arial"/>
          <w:bCs/>
          <w:sz w:val="22"/>
          <w:szCs w:val="22"/>
          <w:lang w:val="en-GB"/>
        </w:rPr>
        <w:t>extraordinary circumstances</w:t>
      </w:r>
      <w:r w:rsidR="0028445A">
        <w:rPr>
          <w:rFonts w:ascii="Arial" w:hAnsi="Arial" w:cs="Arial"/>
          <w:bCs/>
          <w:sz w:val="22"/>
          <w:szCs w:val="22"/>
          <w:lang w:val="en-GB"/>
        </w:rPr>
        <w:t>”</w:t>
      </w:r>
      <w:r w:rsidRPr="00350D74">
        <w:rPr>
          <w:rFonts w:ascii="Arial" w:hAnsi="Arial" w:cs="Arial"/>
          <w:bCs/>
          <w:sz w:val="22"/>
          <w:szCs w:val="22"/>
          <w:lang w:val="en-GB"/>
        </w:rPr>
        <w:t xml:space="preserve"> within the meaning of the said Article 7 A as a decisive </w:t>
      </w:r>
      <w:r w:rsidR="00474888" w:rsidRPr="00350D74">
        <w:rPr>
          <w:rFonts w:ascii="Arial" w:hAnsi="Arial" w:cs="Arial"/>
          <w:bCs/>
          <w:sz w:val="22"/>
          <w:szCs w:val="22"/>
          <w:lang w:val="en-GB"/>
        </w:rPr>
        <w:t>criterion</w:t>
      </w:r>
      <w:r w:rsidRPr="00350D74">
        <w:rPr>
          <w:rFonts w:ascii="Arial" w:hAnsi="Arial" w:cs="Arial"/>
          <w:bCs/>
          <w:sz w:val="22"/>
          <w:szCs w:val="22"/>
          <w:lang w:val="en-GB"/>
        </w:rPr>
        <w:t xml:space="preserve"> for cases being taken over by EULEX prosecuting authorities is interpreted in practice.</w:t>
      </w:r>
    </w:p>
    <w:p w14:paraId="523CF196" w14:textId="77777777" w:rsidR="00766B4B" w:rsidRDefault="00766B4B" w:rsidP="00B9111F">
      <w:pPr>
        <w:pStyle w:val="ListParagraph"/>
        <w:rPr>
          <w:rFonts w:ascii="Arial" w:hAnsi="Arial" w:cs="Arial"/>
          <w:bCs/>
          <w:sz w:val="22"/>
          <w:szCs w:val="22"/>
          <w:lang w:val="en-GB"/>
        </w:rPr>
      </w:pPr>
    </w:p>
    <w:p w14:paraId="070CD9FE" w14:textId="77777777" w:rsidR="00766B4B" w:rsidRPr="00B9111F" w:rsidRDefault="00766B4B" w:rsidP="00B9111F">
      <w:pPr>
        <w:numPr>
          <w:ilvl w:val="0"/>
          <w:numId w:val="15"/>
        </w:numPr>
        <w:tabs>
          <w:tab w:val="clear" w:pos="720"/>
          <w:tab w:val="num" w:pos="0"/>
        </w:tabs>
        <w:suppressAutoHyphens/>
        <w:autoSpaceDE w:val="0"/>
        <w:autoSpaceDN w:val="0"/>
        <w:adjustRightInd w:val="0"/>
        <w:ind w:left="0" w:hanging="709"/>
        <w:jc w:val="both"/>
        <w:rPr>
          <w:rFonts w:ascii="Arial" w:hAnsi="Arial" w:cs="Arial"/>
          <w:bCs/>
          <w:i/>
          <w:sz w:val="22"/>
          <w:szCs w:val="22"/>
          <w:lang w:val="en-GB"/>
        </w:rPr>
      </w:pPr>
      <w:r w:rsidRPr="00B9111F">
        <w:rPr>
          <w:rFonts w:ascii="Arial" w:hAnsi="Arial" w:cs="Arial"/>
          <w:bCs/>
          <w:sz w:val="22"/>
          <w:szCs w:val="22"/>
          <w:lang w:val="en-GB"/>
        </w:rPr>
        <w:t>Having examined the information provided by the HoM with regard to the implementation of the recommendations of the Panel,</w:t>
      </w:r>
    </w:p>
    <w:p w14:paraId="1313983A" w14:textId="77777777" w:rsidR="00766B4B" w:rsidRDefault="00766B4B" w:rsidP="00B9111F">
      <w:pPr>
        <w:pStyle w:val="ListParagraph"/>
        <w:rPr>
          <w:rFonts w:ascii="Arial" w:hAnsi="Arial" w:cs="Arial"/>
          <w:bCs/>
          <w:sz w:val="22"/>
          <w:szCs w:val="22"/>
          <w:lang w:val="en-GB"/>
        </w:rPr>
      </w:pPr>
    </w:p>
    <w:p w14:paraId="71C3B053" w14:textId="77777777" w:rsidR="00766B4B" w:rsidRPr="00094C7E" w:rsidRDefault="00766B4B" w:rsidP="00B87C75">
      <w:pPr>
        <w:autoSpaceDE w:val="0"/>
        <w:jc w:val="both"/>
        <w:rPr>
          <w:rFonts w:ascii="Arial" w:hAnsi="Arial" w:cs="Arial"/>
          <w:b/>
          <w:bCs/>
          <w:sz w:val="22"/>
          <w:szCs w:val="22"/>
          <w:lang w:val="en-GB"/>
        </w:rPr>
      </w:pPr>
    </w:p>
    <w:p w14:paraId="7B505663" w14:textId="77777777" w:rsidR="00766B4B" w:rsidRPr="00094C7E" w:rsidRDefault="00766B4B" w:rsidP="00B87C75">
      <w:pPr>
        <w:autoSpaceDE w:val="0"/>
        <w:jc w:val="both"/>
        <w:rPr>
          <w:rFonts w:ascii="Arial" w:hAnsi="Arial" w:cs="Arial"/>
          <w:b/>
          <w:bCs/>
          <w:sz w:val="22"/>
          <w:szCs w:val="22"/>
          <w:lang w:val="en-GB"/>
        </w:rPr>
      </w:pPr>
    </w:p>
    <w:p w14:paraId="540F0614" w14:textId="77777777" w:rsidR="00766B4B" w:rsidRPr="00094C7E" w:rsidRDefault="00766B4B" w:rsidP="00B87C75">
      <w:pPr>
        <w:autoSpaceDE w:val="0"/>
        <w:autoSpaceDN w:val="0"/>
        <w:adjustRightInd w:val="0"/>
        <w:jc w:val="both"/>
        <w:rPr>
          <w:rFonts w:ascii="Arial" w:hAnsi="Arial" w:cs="Arial"/>
          <w:sz w:val="22"/>
          <w:szCs w:val="22"/>
          <w:lang w:val="en-GB"/>
        </w:rPr>
      </w:pPr>
      <w:r w:rsidRPr="00094C7E">
        <w:rPr>
          <w:rFonts w:ascii="Arial" w:hAnsi="Arial" w:cs="Arial"/>
          <w:b/>
          <w:sz w:val="22"/>
          <w:szCs w:val="22"/>
          <w:lang w:val="en-GB"/>
        </w:rPr>
        <w:t>THE PANEL UNANIMOUSLY</w:t>
      </w:r>
    </w:p>
    <w:p w14:paraId="5F691FAE" w14:textId="77777777" w:rsidR="00766B4B" w:rsidRPr="00094C7E" w:rsidRDefault="00766B4B" w:rsidP="00537D4C">
      <w:pPr>
        <w:suppressAutoHyphens/>
        <w:autoSpaceDE w:val="0"/>
        <w:jc w:val="both"/>
        <w:rPr>
          <w:rFonts w:ascii="Arial" w:hAnsi="Arial" w:cs="Arial"/>
          <w:sz w:val="22"/>
          <w:szCs w:val="22"/>
          <w:lang w:val="en-GB"/>
        </w:rPr>
      </w:pPr>
    </w:p>
    <w:p w14:paraId="5EF13E0F" w14:textId="77777777" w:rsidR="00766B4B" w:rsidRDefault="00766B4B" w:rsidP="00537D4C">
      <w:pPr>
        <w:suppressAutoHyphens/>
        <w:autoSpaceDE w:val="0"/>
        <w:jc w:val="both"/>
        <w:rPr>
          <w:rFonts w:ascii="Arial" w:hAnsi="Arial" w:cs="Arial"/>
          <w:sz w:val="22"/>
          <w:szCs w:val="22"/>
          <w:lang w:val="en-GB"/>
        </w:rPr>
      </w:pPr>
      <w:r w:rsidRPr="00094C7E">
        <w:rPr>
          <w:rFonts w:ascii="Arial" w:hAnsi="Arial" w:cs="Arial"/>
          <w:i/>
          <w:sz w:val="22"/>
          <w:szCs w:val="22"/>
          <w:lang w:val="en-GB"/>
        </w:rPr>
        <w:t>Declares</w:t>
      </w:r>
      <w:r w:rsidRPr="00094C7E">
        <w:rPr>
          <w:rFonts w:ascii="Arial" w:hAnsi="Arial" w:cs="Arial"/>
          <w:sz w:val="22"/>
          <w:szCs w:val="22"/>
          <w:lang w:val="en-GB"/>
        </w:rPr>
        <w:t xml:space="preserve"> that the HoM has implemented </w:t>
      </w:r>
      <w:r>
        <w:rPr>
          <w:rFonts w:ascii="Arial" w:hAnsi="Arial" w:cs="Arial"/>
          <w:sz w:val="22"/>
          <w:szCs w:val="22"/>
          <w:lang w:val="en-GB"/>
        </w:rPr>
        <w:t>in part the Panel’s recommendations.</w:t>
      </w:r>
      <w:r w:rsidRPr="00094C7E">
        <w:rPr>
          <w:rFonts w:ascii="Arial" w:hAnsi="Arial" w:cs="Arial"/>
          <w:sz w:val="22"/>
          <w:szCs w:val="22"/>
          <w:lang w:val="en-GB"/>
        </w:rPr>
        <w:t xml:space="preserve"> </w:t>
      </w:r>
    </w:p>
    <w:p w14:paraId="67E6BC35" w14:textId="77777777" w:rsidR="00766B4B" w:rsidRDefault="00766B4B" w:rsidP="00537D4C">
      <w:pPr>
        <w:suppressAutoHyphens/>
        <w:autoSpaceDE w:val="0"/>
        <w:jc w:val="both"/>
        <w:rPr>
          <w:rFonts w:ascii="Arial" w:hAnsi="Arial" w:cs="Arial"/>
          <w:sz w:val="22"/>
          <w:szCs w:val="22"/>
          <w:lang w:val="en-GB"/>
        </w:rPr>
      </w:pPr>
    </w:p>
    <w:p w14:paraId="19CF39A3" w14:textId="77777777" w:rsidR="00766B4B" w:rsidRDefault="00766B4B" w:rsidP="00537D4C">
      <w:pPr>
        <w:suppressAutoHyphens/>
        <w:autoSpaceDE w:val="0"/>
        <w:jc w:val="both"/>
        <w:rPr>
          <w:rFonts w:ascii="Arial" w:hAnsi="Arial" w:cs="Arial"/>
          <w:sz w:val="22"/>
          <w:szCs w:val="22"/>
          <w:lang w:val="en-GB"/>
        </w:rPr>
      </w:pPr>
      <w:r w:rsidRPr="00CD7B58">
        <w:rPr>
          <w:rFonts w:ascii="Arial" w:hAnsi="Arial" w:cs="Arial"/>
          <w:i/>
          <w:sz w:val="22"/>
          <w:szCs w:val="22"/>
          <w:lang w:val="en-GB"/>
        </w:rPr>
        <w:t>Declares</w:t>
      </w:r>
      <w:r>
        <w:rPr>
          <w:rFonts w:ascii="Arial" w:hAnsi="Arial" w:cs="Arial"/>
          <w:sz w:val="22"/>
          <w:szCs w:val="22"/>
          <w:lang w:val="en-GB"/>
        </w:rPr>
        <w:t xml:space="preserve"> that the right of the complainants to an effective remedy remains affected by the absence of a demonstrable effective investigation of that case. </w:t>
      </w:r>
    </w:p>
    <w:p w14:paraId="3DE2E9C6" w14:textId="77777777" w:rsidR="0028445A" w:rsidRDefault="0028445A" w:rsidP="00537D4C">
      <w:pPr>
        <w:suppressAutoHyphens/>
        <w:autoSpaceDE w:val="0"/>
        <w:jc w:val="both"/>
        <w:rPr>
          <w:rFonts w:ascii="Arial" w:hAnsi="Arial" w:cs="Arial"/>
          <w:sz w:val="22"/>
          <w:szCs w:val="22"/>
          <w:lang w:val="en-GB"/>
        </w:rPr>
      </w:pPr>
    </w:p>
    <w:p w14:paraId="452F1650" w14:textId="77777777" w:rsidR="0028445A" w:rsidRDefault="0028445A" w:rsidP="00537D4C">
      <w:pPr>
        <w:suppressAutoHyphens/>
        <w:autoSpaceDE w:val="0"/>
        <w:jc w:val="both"/>
        <w:rPr>
          <w:rFonts w:ascii="Arial" w:hAnsi="Arial" w:cs="Arial"/>
          <w:sz w:val="22"/>
          <w:szCs w:val="22"/>
          <w:lang w:val="en-GB"/>
        </w:rPr>
      </w:pPr>
      <w:r w:rsidRPr="00350D74">
        <w:rPr>
          <w:rFonts w:ascii="Arial" w:hAnsi="Arial" w:cs="Arial"/>
          <w:i/>
          <w:sz w:val="22"/>
          <w:szCs w:val="22"/>
          <w:lang w:val="en-GB"/>
        </w:rPr>
        <w:t>Invites</w:t>
      </w:r>
      <w:r>
        <w:rPr>
          <w:rFonts w:ascii="Arial" w:hAnsi="Arial" w:cs="Arial"/>
          <w:sz w:val="22"/>
          <w:szCs w:val="22"/>
          <w:lang w:val="en-GB"/>
        </w:rPr>
        <w:t xml:space="preserve"> the HoM to provide the clarification sought regarding the Mission’s interpretation of “extraordinary circumstances” pursuant to Article 7A of the Law on </w:t>
      </w:r>
      <w:proofErr w:type="spellStart"/>
      <w:r>
        <w:rPr>
          <w:rFonts w:ascii="Arial" w:hAnsi="Arial" w:cs="Arial"/>
          <w:sz w:val="22"/>
          <w:szCs w:val="22"/>
          <w:lang w:val="en-GB"/>
        </w:rPr>
        <w:t>Jurisidiction</w:t>
      </w:r>
      <w:proofErr w:type="spellEnd"/>
      <w:r>
        <w:rPr>
          <w:rFonts w:ascii="Arial" w:hAnsi="Arial" w:cs="Arial"/>
          <w:sz w:val="22"/>
          <w:szCs w:val="22"/>
          <w:lang w:val="en-GB"/>
        </w:rPr>
        <w:t xml:space="preserve">. </w:t>
      </w:r>
    </w:p>
    <w:p w14:paraId="3A77DC8B" w14:textId="77777777" w:rsidR="0028445A" w:rsidRDefault="0028445A" w:rsidP="00537D4C">
      <w:pPr>
        <w:suppressAutoHyphens/>
        <w:autoSpaceDE w:val="0"/>
        <w:jc w:val="both"/>
        <w:rPr>
          <w:rFonts w:ascii="Arial" w:hAnsi="Arial" w:cs="Arial"/>
          <w:sz w:val="22"/>
          <w:szCs w:val="22"/>
          <w:lang w:val="en-GB"/>
        </w:rPr>
      </w:pPr>
    </w:p>
    <w:p w14:paraId="2354A667" w14:textId="77777777" w:rsidR="0028445A" w:rsidRDefault="0028445A" w:rsidP="00537D4C">
      <w:pPr>
        <w:suppressAutoHyphens/>
        <w:autoSpaceDE w:val="0"/>
        <w:jc w:val="both"/>
        <w:rPr>
          <w:rFonts w:ascii="Arial" w:hAnsi="Arial" w:cs="Arial"/>
          <w:sz w:val="22"/>
          <w:szCs w:val="22"/>
          <w:lang w:val="en-GB"/>
        </w:rPr>
      </w:pPr>
      <w:r w:rsidRPr="00350D74">
        <w:rPr>
          <w:rFonts w:ascii="Arial" w:hAnsi="Arial" w:cs="Arial"/>
          <w:i/>
          <w:sz w:val="22"/>
          <w:szCs w:val="22"/>
          <w:lang w:val="en-GB"/>
        </w:rPr>
        <w:t>Invites</w:t>
      </w:r>
      <w:r>
        <w:rPr>
          <w:rFonts w:ascii="Arial" w:hAnsi="Arial" w:cs="Arial"/>
          <w:sz w:val="22"/>
          <w:szCs w:val="22"/>
          <w:lang w:val="en-GB"/>
        </w:rPr>
        <w:t xml:space="preserve"> the Mission – through the HoM – to seek regular updates from the Kosovo authorities on the progress of their investigation.  </w:t>
      </w:r>
    </w:p>
    <w:p w14:paraId="01807219" w14:textId="77777777" w:rsidR="0028445A" w:rsidRDefault="0028445A" w:rsidP="00537D4C">
      <w:pPr>
        <w:suppressAutoHyphens/>
        <w:autoSpaceDE w:val="0"/>
        <w:jc w:val="both"/>
        <w:rPr>
          <w:rFonts w:ascii="Arial" w:hAnsi="Arial" w:cs="Arial"/>
          <w:sz w:val="22"/>
          <w:szCs w:val="22"/>
          <w:lang w:val="en-GB"/>
        </w:rPr>
      </w:pPr>
    </w:p>
    <w:p w14:paraId="37A5D0CB" w14:textId="03224582" w:rsidR="0028445A" w:rsidRPr="00094C7E" w:rsidRDefault="0028445A" w:rsidP="00537D4C">
      <w:pPr>
        <w:suppressAutoHyphens/>
        <w:autoSpaceDE w:val="0"/>
        <w:jc w:val="both"/>
        <w:rPr>
          <w:rFonts w:ascii="Arial" w:hAnsi="Arial" w:cs="Arial"/>
          <w:sz w:val="22"/>
          <w:szCs w:val="22"/>
          <w:lang w:val="en-GB"/>
        </w:rPr>
      </w:pPr>
      <w:proofErr w:type="gramStart"/>
      <w:r w:rsidRPr="00350D74">
        <w:rPr>
          <w:rFonts w:ascii="Arial" w:hAnsi="Arial" w:cs="Arial"/>
          <w:i/>
          <w:sz w:val="22"/>
          <w:szCs w:val="22"/>
          <w:lang w:val="en-GB"/>
        </w:rPr>
        <w:t>Invites</w:t>
      </w:r>
      <w:r>
        <w:rPr>
          <w:rFonts w:ascii="Arial" w:hAnsi="Arial" w:cs="Arial"/>
          <w:sz w:val="22"/>
          <w:szCs w:val="22"/>
          <w:lang w:val="en-GB"/>
        </w:rPr>
        <w:t xml:space="preserve"> the HoM to update the Panel of the progress of the investigation no later than </w:t>
      </w:r>
      <w:r w:rsidR="00474888">
        <w:rPr>
          <w:rFonts w:ascii="Arial" w:hAnsi="Arial" w:cs="Arial"/>
          <w:sz w:val="22"/>
          <w:szCs w:val="22"/>
          <w:lang w:val="en-GB"/>
        </w:rPr>
        <w:t>28 February 201</w:t>
      </w:r>
      <w:r w:rsidR="003A39E5">
        <w:rPr>
          <w:rFonts w:ascii="Arial" w:hAnsi="Arial" w:cs="Arial"/>
          <w:sz w:val="22"/>
          <w:szCs w:val="22"/>
          <w:lang w:val="en-GB"/>
        </w:rPr>
        <w:t>6</w:t>
      </w:r>
      <w:bookmarkStart w:id="0" w:name="_GoBack"/>
      <w:bookmarkEnd w:id="0"/>
      <w:r>
        <w:rPr>
          <w:rFonts w:ascii="Arial" w:hAnsi="Arial" w:cs="Arial"/>
          <w:sz w:val="22"/>
          <w:szCs w:val="22"/>
          <w:lang w:val="en-GB"/>
        </w:rPr>
        <w:t>.</w:t>
      </w:r>
      <w:proofErr w:type="gramEnd"/>
    </w:p>
    <w:p w14:paraId="6F47DFEC" w14:textId="77777777" w:rsidR="00766B4B" w:rsidRPr="00094C7E" w:rsidRDefault="00766B4B" w:rsidP="00537D4C">
      <w:pPr>
        <w:suppressAutoHyphens/>
        <w:autoSpaceDE w:val="0"/>
        <w:jc w:val="both"/>
        <w:rPr>
          <w:rFonts w:ascii="Arial" w:hAnsi="Arial" w:cs="Arial"/>
          <w:sz w:val="22"/>
          <w:szCs w:val="22"/>
          <w:lang w:val="en-GB"/>
        </w:rPr>
      </w:pPr>
    </w:p>
    <w:p w14:paraId="336666C8" w14:textId="77777777" w:rsidR="00766B4B" w:rsidRPr="00094C7E" w:rsidRDefault="00766B4B" w:rsidP="00537D4C">
      <w:pPr>
        <w:suppressAutoHyphens/>
        <w:autoSpaceDE w:val="0"/>
        <w:jc w:val="both"/>
        <w:rPr>
          <w:rFonts w:ascii="Arial" w:hAnsi="Arial" w:cs="Arial"/>
          <w:sz w:val="22"/>
          <w:szCs w:val="22"/>
          <w:lang w:val="en-GB"/>
        </w:rPr>
      </w:pPr>
      <w:r w:rsidRPr="00094C7E">
        <w:rPr>
          <w:rFonts w:ascii="Arial" w:hAnsi="Arial" w:cs="Arial"/>
          <w:i/>
          <w:sz w:val="22"/>
          <w:szCs w:val="22"/>
          <w:lang w:val="en-GB"/>
        </w:rPr>
        <w:t>Decides</w:t>
      </w:r>
      <w:r w:rsidRPr="00094C7E">
        <w:rPr>
          <w:rFonts w:ascii="Arial" w:hAnsi="Arial" w:cs="Arial"/>
          <w:sz w:val="22"/>
          <w:szCs w:val="22"/>
          <w:lang w:val="en-GB"/>
        </w:rPr>
        <w:t xml:space="preserve"> </w:t>
      </w:r>
      <w:r>
        <w:rPr>
          <w:rFonts w:ascii="Arial" w:hAnsi="Arial" w:cs="Arial"/>
          <w:sz w:val="22"/>
          <w:szCs w:val="22"/>
          <w:lang w:val="en-GB"/>
        </w:rPr>
        <w:t>that it remains seized of the matter</w:t>
      </w:r>
      <w:r w:rsidRPr="00094C7E">
        <w:rPr>
          <w:rFonts w:ascii="Arial" w:hAnsi="Arial" w:cs="Arial"/>
          <w:sz w:val="22"/>
          <w:szCs w:val="22"/>
          <w:lang w:val="en-GB"/>
        </w:rPr>
        <w:t>.</w:t>
      </w:r>
    </w:p>
    <w:p w14:paraId="7A81DED8" w14:textId="77777777" w:rsidR="00766B4B" w:rsidRDefault="00766B4B" w:rsidP="00FA7BCA">
      <w:pPr>
        <w:suppressAutoHyphens/>
        <w:autoSpaceDE w:val="0"/>
        <w:jc w:val="both"/>
        <w:rPr>
          <w:rFonts w:ascii="Arial" w:hAnsi="Arial" w:cs="Arial"/>
          <w:sz w:val="22"/>
          <w:szCs w:val="22"/>
          <w:highlight w:val="yellow"/>
          <w:lang w:val="en-GB"/>
        </w:rPr>
      </w:pPr>
    </w:p>
    <w:p w14:paraId="6564017A" w14:textId="77777777" w:rsidR="00350D74" w:rsidRDefault="00350D74" w:rsidP="00FA7BCA">
      <w:pPr>
        <w:suppressAutoHyphens/>
        <w:autoSpaceDE w:val="0"/>
        <w:jc w:val="both"/>
        <w:rPr>
          <w:rFonts w:ascii="Arial" w:hAnsi="Arial" w:cs="Arial"/>
          <w:sz w:val="22"/>
          <w:szCs w:val="22"/>
          <w:highlight w:val="yellow"/>
          <w:lang w:val="en-GB"/>
        </w:rPr>
      </w:pPr>
    </w:p>
    <w:p w14:paraId="48998E38" w14:textId="77777777" w:rsidR="00350D74" w:rsidRDefault="00350D74" w:rsidP="00FA7BCA">
      <w:pPr>
        <w:suppressAutoHyphens/>
        <w:autoSpaceDE w:val="0"/>
        <w:jc w:val="both"/>
        <w:rPr>
          <w:rFonts w:ascii="Arial" w:hAnsi="Arial" w:cs="Arial"/>
          <w:sz w:val="22"/>
          <w:szCs w:val="22"/>
          <w:highlight w:val="yellow"/>
          <w:lang w:val="en-GB"/>
        </w:rPr>
      </w:pPr>
    </w:p>
    <w:p w14:paraId="45F1DF92" w14:textId="77777777" w:rsidR="00350D74" w:rsidRDefault="00350D74" w:rsidP="00FA7BCA">
      <w:pPr>
        <w:suppressAutoHyphens/>
        <w:autoSpaceDE w:val="0"/>
        <w:jc w:val="both"/>
        <w:rPr>
          <w:rFonts w:ascii="Arial" w:hAnsi="Arial" w:cs="Arial"/>
          <w:sz w:val="22"/>
          <w:szCs w:val="22"/>
          <w:highlight w:val="yellow"/>
          <w:lang w:val="en-GB"/>
        </w:rPr>
      </w:pPr>
    </w:p>
    <w:p w14:paraId="6B1ACD16" w14:textId="77777777" w:rsidR="00350D74" w:rsidRPr="00094C7E" w:rsidRDefault="00350D74" w:rsidP="00FA7BCA">
      <w:pPr>
        <w:suppressAutoHyphens/>
        <w:autoSpaceDE w:val="0"/>
        <w:jc w:val="both"/>
        <w:rPr>
          <w:rFonts w:ascii="Arial" w:hAnsi="Arial" w:cs="Arial"/>
          <w:sz w:val="22"/>
          <w:szCs w:val="22"/>
          <w:highlight w:val="yellow"/>
          <w:lang w:val="en-GB"/>
        </w:rPr>
      </w:pPr>
    </w:p>
    <w:p w14:paraId="634EFCA7" w14:textId="77777777" w:rsidR="00766B4B" w:rsidRPr="00094C7E" w:rsidRDefault="00766B4B" w:rsidP="00FA7BCA">
      <w:pPr>
        <w:suppressAutoHyphens/>
        <w:autoSpaceDE w:val="0"/>
        <w:jc w:val="both"/>
        <w:rPr>
          <w:rFonts w:ascii="Arial" w:hAnsi="Arial" w:cs="Arial"/>
          <w:sz w:val="22"/>
          <w:szCs w:val="22"/>
          <w:highlight w:val="yellow"/>
          <w:lang w:val="en-GB"/>
        </w:rPr>
      </w:pPr>
    </w:p>
    <w:p w14:paraId="683F79FE" w14:textId="77777777" w:rsidR="00766B4B" w:rsidRPr="003A39E5" w:rsidRDefault="00766B4B" w:rsidP="008644CA">
      <w:pPr>
        <w:autoSpaceDE w:val="0"/>
        <w:autoSpaceDN w:val="0"/>
        <w:adjustRightInd w:val="0"/>
        <w:jc w:val="both"/>
        <w:rPr>
          <w:rFonts w:ascii="Arial" w:hAnsi="Arial" w:cs="Arial"/>
          <w:sz w:val="22"/>
          <w:szCs w:val="22"/>
          <w:lang w:val="pl-PL"/>
        </w:rPr>
      </w:pPr>
      <w:r w:rsidRPr="003A39E5">
        <w:rPr>
          <w:rFonts w:ascii="Arial" w:hAnsi="Arial" w:cs="Arial"/>
          <w:sz w:val="22"/>
          <w:szCs w:val="22"/>
          <w:lang w:val="pl-PL"/>
        </w:rPr>
        <w:t>For the Panel,</w:t>
      </w:r>
    </w:p>
    <w:p w14:paraId="6637F19E" w14:textId="77777777" w:rsidR="00766B4B" w:rsidRPr="003A39E5" w:rsidRDefault="00766B4B" w:rsidP="008644CA">
      <w:pPr>
        <w:autoSpaceDE w:val="0"/>
        <w:autoSpaceDN w:val="0"/>
        <w:adjustRightInd w:val="0"/>
        <w:jc w:val="both"/>
        <w:rPr>
          <w:rFonts w:ascii="Arial" w:hAnsi="Arial" w:cs="Arial"/>
          <w:sz w:val="22"/>
          <w:szCs w:val="22"/>
          <w:lang w:val="pl-PL"/>
        </w:rPr>
      </w:pPr>
    </w:p>
    <w:p w14:paraId="0B3D2D44" w14:textId="77777777" w:rsidR="00766B4B" w:rsidRPr="003A39E5" w:rsidRDefault="00766B4B" w:rsidP="008644CA">
      <w:pPr>
        <w:autoSpaceDE w:val="0"/>
        <w:autoSpaceDN w:val="0"/>
        <w:adjustRightInd w:val="0"/>
        <w:jc w:val="both"/>
        <w:rPr>
          <w:rFonts w:ascii="Arial" w:hAnsi="Arial" w:cs="Arial"/>
          <w:sz w:val="22"/>
          <w:szCs w:val="22"/>
          <w:lang w:val="pl-PL"/>
        </w:rPr>
      </w:pPr>
    </w:p>
    <w:p w14:paraId="44FE4EA3" w14:textId="77777777" w:rsidR="00766B4B" w:rsidRPr="003A39E5" w:rsidRDefault="00766B4B" w:rsidP="008644CA">
      <w:pPr>
        <w:autoSpaceDE w:val="0"/>
        <w:autoSpaceDN w:val="0"/>
        <w:adjustRightInd w:val="0"/>
        <w:jc w:val="both"/>
        <w:rPr>
          <w:rFonts w:ascii="Arial" w:hAnsi="Arial" w:cs="Arial"/>
          <w:sz w:val="22"/>
          <w:szCs w:val="22"/>
          <w:lang w:val="pl-PL"/>
        </w:rPr>
      </w:pPr>
    </w:p>
    <w:p w14:paraId="3B2C123C" w14:textId="77777777" w:rsidR="00474888" w:rsidRPr="003A39E5" w:rsidRDefault="00474888" w:rsidP="008644CA">
      <w:pPr>
        <w:autoSpaceDE w:val="0"/>
        <w:autoSpaceDN w:val="0"/>
        <w:adjustRightInd w:val="0"/>
        <w:jc w:val="both"/>
        <w:rPr>
          <w:rFonts w:ascii="Arial" w:hAnsi="Arial" w:cs="Arial"/>
          <w:sz w:val="22"/>
          <w:szCs w:val="22"/>
          <w:lang w:val="pl-PL"/>
        </w:rPr>
      </w:pPr>
    </w:p>
    <w:p w14:paraId="6B1BA13F" w14:textId="77777777" w:rsidR="00766B4B" w:rsidRPr="003A39E5" w:rsidRDefault="00766B4B" w:rsidP="008644CA">
      <w:pPr>
        <w:autoSpaceDE w:val="0"/>
        <w:autoSpaceDN w:val="0"/>
        <w:adjustRightInd w:val="0"/>
        <w:jc w:val="both"/>
        <w:rPr>
          <w:rFonts w:ascii="Arial" w:hAnsi="Arial" w:cs="Arial"/>
          <w:sz w:val="22"/>
          <w:szCs w:val="22"/>
          <w:lang w:val="pl-PL"/>
        </w:rPr>
      </w:pPr>
    </w:p>
    <w:p w14:paraId="293B24C8" w14:textId="77777777" w:rsidR="0093634D" w:rsidRPr="003A39E5" w:rsidRDefault="0093634D" w:rsidP="0093634D">
      <w:pPr>
        <w:autoSpaceDE w:val="0"/>
        <w:autoSpaceDN w:val="0"/>
        <w:adjustRightInd w:val="0"/>
        <w:jc w:val="both"/>
        <w:rPr>
          <w:rFonts w:ascii="Arial" w:hAnsi="Arial" w:cs="Arial"/>
          <w:sz w:val="22"/>
          <w:szCs w:val="22"/>
          <w:lang w:val="pl-PL"/>
        </w:rPr>
      </w:pPr>
      <w:r w:rsidRPr="003A39E5">
        <w:rPr>
          <w:rFonts w:ascii="Arial" w:hAnsi="Arial" w:cs="Arial"/>
          <w:sz w:val="22"/>
          <w:szCs w:val="22"/>
          <w:lang w:val="pl-PL"/>
        </w:rPr>
        <w:t>Joanna MARSZALIK</w:t>
      </w:r>
      <w:r w:rsidRPr="003A39E5">
        <w:rPr>
          <w:rFonts w:ascii="Arial" w:hAnsi="Arial" w:cs="Arial"/>
          <w:sz w:val="22"/>
          <w:szCs w:val="22"/>
          <w:lang w:val="pl-PL"/>
        </w:rPr>
        <w:tab/>
      </w:r>
      <w:r w:rsidRPr="003A39E5">
        <w:rPr>
          <w:rFonts w:ascii="Arial" w:hAnsi="Arial" w:cs="Arial"/>
          <w:sz w:val="22"/>
          <w:szCs w:val="22"/>
          <w:lang w:val="pl-PL"/>
        </w:rPr>
        <w:tab/>
      </w:r>
      <w:r w:rsidRPr="003A39E5">
        <w:rPr>
          <w:rFonts w:ascii="Arial" w:hAnsi="Arial" w:cs="Arial"/>
          <w:sz w:val="22"/>
          <w:szCs w:val="22"/>
          <w:lang w:val="pl-PL"/>
        </w:rPr>
        <w:tab/>
      </w:r>
      <w:r w:rsidRPr="003A39E5">
        <w:rPr>
          <w:rFonts w:ascii="Arial" w:hAnsi="Arial" w:cs="Arial"/>
          <w:sz w:val="22"/>
          <w:szCs w:val="22"/>
          <w:lang w:val="pl-PL"/>
        </w:rPr>
        <w:tab/>
        <w:t>Magda MIERZEWSKA</w:t>
      </w:r>
      <w:r w:rsidRPr="003A39E5">
        <w:rPr>
          <w:rFonts w:ascii="Arial" w:hAnsi="Arial" w:cs="Arial"/>
          <w:sz w:val="22"/>
          <w:szCs w:val="22"/>
          <w:lang w:val="pl-PL"/>
        </w:rPr>
        <w:tab/>
      </w:r>
    </w:p>
    <w:p w14:paraId="5CFEE033" w14:textId="77777777" w:rsidR="0093634D" w:rsidRPr="0093634D" w:rsidRDefault="0093634D" w:rsidP="0093634D">
      <w:pPr>
        <w:autoSpaceDE w:val="0"/>
        <w:autoSpaceDN w:val="0"/>
        <w:adjustRightInd w:val="0"/>
        <w:jc w:val="both"/>
        <w:rPr>
          <w:rFonts w:ascii="Arial" w:hAnsi="Arial" w:cs="Arial"/>
          <w:sz w:val="22"/>
          <w:szCs w:val="22"/>
          <w:lang w:val="en-GB"/>
        </w:rPr>
      </w:pPr>
      <w:r w:rsidRPr="0093634D">
        <w:rPr>
          <w:rFonts w:ascii="Arial" w:hAnsi="Arial" w:cs="Arial"/>
          <w:sz w:val="22"/>
          <w:szCs w:val="22"/>
          <w:lang w:val="en-GB"/>
        </w:rPr>
        <w:t xml:space="preserve">Legal Officer </w:t>
      </w:r>
      <w:r w:rsidRPr="0093634D">
        <w:rPr>
          <w:rFonts w:ascii="Arial" w:hAnsi="Arial" w:cs="Arial"/>
          <w:sz w:val="22"/>
          <w:szCs w:val="22"/>
          <w:lang w:val="en-GB"/>
        </w:rPr>
        <w:tab/>
      </w:r>
      <w:r w:rsidRPr="0093634D">
        <w:rPr>
          <w:rFonts w:ascii="Arial" w:hAnsi="Arial" w:cs="Arial"/>
          <w:sz w:val="22"/>
          <w:szCs w:val="22"/>
          <w:lang w:val="en-GB"/>
        </w:rPr>
        <w:tab/>
      </w:r>
      <w:r w:rsidRPr="0093634D">
        <w:rPr>
          <w:rFonts w:ascii="Arial" w:hAnsi="Arial" w:cs="Arial"/>
          <w:sz w:val="22"/>
          <w:szCs w:val="22"/>
          <w:lang w:val="en-GB"/>
        </w:rPr>
        <w:tab/>
      </w:r>
      <w:r w:rsidRPr="0093634D">
        <w:rPr>
          <w:rFonts w:ascii="Arial" w:hAnsi="Arial" w:cs="Arial"/>
          <w:sz w:val="22"/>
          <w:szCs w:val="22"/>
          <w:lang w:val="en-GB"/>
        </w:rPr>
        <w:tab/>
      </w:r>
      <w:r w:rsidRPr="0093634D">
        <w:rPr>
          <w:rFonts w:ascii="Arial" w:hAnsi="Arial" w:cs="Arial"/>
          <w:sz w:val="22"/>
          <w:szCs w:val="22"/>
          <w:lang w:val="en-GB"/>
        </w:rPr>
        <w:tab/>
        <w:t>Presiding Member</w:t>
      </w:r>
    </w:p>
    <w:p w14:paraId="644F5CE4" w14:textId="78E94CFB" w:rsidR="00766B4B" w:rsidRPr="00094C7E" w:rsidRDefault="00766B4B" w:rsidP="0093634D">
      <w:pPr>
        <w:autoSpaceDE w:val="0"/>
        <w:autoSpaceDN w:val="0"/>
        <w:adjustRightInd w:val="0"/>
        <w:jc w:val="both"/>
        <w:rPr>
          <w:sz w:val="26"/>
          <w:szCs w:val="26"/>
          <w:lang w:val="en-GB"/>
        </w:rPr>
      </w:pPr>
    </w:p>
    <w:sectPr w:rsidR="00766B4B" w:rsidRPr="00094C7E" w:rsidSect="00560A47">
      <w:headerReference w:type="default" r:id="rId10"/>
      <w:footerReference w:type="even" r:id="rId11"/>
      <w:footerReference w:type="default" r:id="rId12"/>
      <w:headerReference w:type="first" r:id="rId13"/>
      <w:footerReference w:type="first" r:id="rId14"/>
      <w:pgSz w:w="11907" w:h="16840" w:code="9"/>
      <w:pgMar w:top="2268" w:right="1797" w:bottom="1440" w:left="25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5BB22" w14:textId="77777777" w:rsidR="0028445A" w:rsidRDefault="0028445A">
      <w:r>
        <w:separator/>
      </w:r>
    </w:p>
  </w:endnote>
  <w:endnote w:type="continuationSeparator" w:id="0">
    <w:p w14:paraId="646ED2DF" w14:textId="77777777" w:rsidR="0028445A" w:rsidRDefault="0028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4B30A" w14:textId="77777777" w:rsidR="0028445A" w:rsidRDefault="0028445A" w:rsidP="005673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553A9" w14:textId="77777777" w:rsidR="0028445A" w:rsidRDefault="0028445A" w:rsidP="001D0F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E594" w14:textId="77777777" w:rsidR="0028445A" w:rsidRDefault="0028445A" w:rsidP="005673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9E5">
      <w:rPr>
        <w:rStyle w:val="PageNumber"/>
        <w:noProof/>
      </w:rPr>
      <w:t>6</w:t>
    </w:r>
    <w:r>
      <w:rPr>
        <w:rStyle w:val="PageNumber"/>
      </w:rPr>
      <w:fldChar w:fldCharType="end"/>
    </w:r>
  </w:p>
  <w:p w14:paraId="6ED81370" w14:textId="77777777" w:rsidR="0028445A" w:rsidRDefault="0028445A" w:rsidP="001D0F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4EE0" w14:textId="77777777" w:rsidR="0028445A" w:rsidRPr="00560A47" w:rsidRDefault="0028445A" w:rsidP="0069378B">
    <w:pPr>
      <w:pStyle w:val="Footer"/>
      <w:ind w:right="360"/>
      <w:rPr>
        <w:lang w:val="it-IT"/>
      </w:rPr>
    </w:pPr>
  </w:p>
  <w:p w14:paraId="4831995A" w14:textId="77777777" w:rsidR="0028445A" w:rsidRPr="00560A47" w:rsidRDefault="0028445A" w:rsidP="00F67EDB">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B87F8" w14:textId="77777777" w:rsidR="0028445A" w:rsidRDefault="0028445A">
      <w:r>
        <w:separator/>
      </w:r>
    </w:p>
  </w:footnote>
  <w:footnote w:type="continuationSeparator" w:id="0">
    <w:p w14:paraId="77BDE621" w14:textId="77777777" w:rsidR="0028445A" w:rsidRDefault="00284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EA76" w14:textId="77777777" w:rsidR="0028445A" w:rsidRDefault="0028445A" w:rsidP="00391BB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43F5" w14:textId="77777777" w:rsidR="0028445A" w:rsidRDefault="0028445A" w:rsidP="001D0F3B">
    <w:pPr>
      <w:pStyle w:val="Header"/>
      <w:jc w:val="center"/>
    </w:pPr>
    <w:r>
      <w:rPr>
        <w:noProof/>
        <w:lang w:val="en-GB" w:eastAsia="zh-CN"/>
      </w:rPr>
      <w:drawing>
        <wp:inline distT="0" distB="0" distL="0" distR="0" wp14:anchorId="17D74DCE" wp14:editId="39D09D4C">
          <wp:extent cx="263017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0170" cy="962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8A056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31C3E"/>
    <w:multiLevelType w:val="hybridMultilevel"/>
    <w:tmpl w:val="119857D0"/>
    <w:lvl w:ilvl="0" w:tplc="814E0660">
      <w:start w:val="1"/>
      <w:numFmt w:val="bullet"/>
      <w:lvlText w:val="-"/>
      <w:lvlJc w:val="left"/>
      <w:pPr>
        <w:tabs>
          <w:tab w:val="num" w:pos="1083"/>
        </w:tabs>
        <w:ind w:left="1083" w:hanging="363"/>
      </w:pPr>
      <w:rPr>
        <w:rFonts w:ascii="Times New Roman" w:eastAsia="Times New Roman" w:hAnsi="Times New Roman"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
    <w:nsid w:val="094E1CD0"/>
    <w:multiLevelType w:val="hybridMultilevel"/>
    <w:tmpl w:val="09BE27F4"/>
    <w:lvl w:ilvl="0" w:tplc="A65CA8B0">
      <w:start w:val="2"/>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155048"/>
    <w:multiLevelType w:val="hybridMultilevel"/>
    <w:tmpl w:val="6AE8CA9C"/>
    <w:lvl w:ilvl="0" w:tplc="808E2A52">
      <w:start w:val="1"/>
      <w:numFmt w:val="upperRoman"/>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4CC1ABD"/>
    <w:multiLevelType w:val="hybridMultilevel"/>
    <w:tmpl w:val="B5CE106C"/>
    <w:lvl w:ilvl="0" w:tplc="25A44636">
      <w:start w:val="1"/>
      <w:numFmt w:val="decimal"/>
      <w:lvlText w:val="%1."/>
      <w:lvlJc w:val="left"/>
      <w:pPr>
        <w:tabs>
          <w:tab w:val="num" w:pos="1440"/>
        </w:tabs>
        <w:ind w:left="1440" w:hanging="72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A944594"/>
    <w:multiLevelType w:val="hybridMultilevel"/>
    <w:tmpl w:val="BFA26602"/>
    <w:lvl w:ilvl="0" w:tplc="808E2A52">
      <w:start w:val="1"/>
      <w:numFmt w:val="upperRoman"/>
      <w:lvlText w:val="%1."/>
      <w:lvlJc w:val="left"/>
      <w:pPr>
        <w:tabs>
          <w:tab w:val="num" w:pos="2160"/>
        </w:tabs>
        <w:ind w:left="2160" w:hanging="720"/>
      </w:pPr>
      <w:rPr>
        <w:rFonts w:cs="Times New Roman" w:hint="default"/>
      </w:rPr>
    </w:lvl>
    <w:lvl w:ilvl="1" w:tplc="0409000F">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20162729"/>
    <w:multiLevelType w:val="hybridMultilevel"/>
    <w:tmpl w:val="F3442622"/>
    <w:lvl w:ilvl="0" w:tplc="AED84494">
      <w:start w:val="5"/>
      <w:numFmt w:val="decimal"/>
      <w:lvlText w:val="%1."/>
      <w:lvlJc w:val="left"/>
      <w:pPr>
        <w:tabs>
          <w:tab w:val="num" w:pos="720"/>
        </w:tabs>
        <w:ind w:left="720" w:hanging="72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0895CC8"/>
    <w:multiLevelType w:val="multilevel"/>
    <w:tmpl w:val="2C308E38"/>
    <w:lvl w:ilvl="0">
      <w:start w:val="10"/>
      <w:numFmt w:val="decimal"/>
      <w:lvlText w:val="%1"/>
      <w:lvlJc w:val="left"/>
      <w:pPr>
        <w:tabs>
          <w:tab w:val="num" w:pos="2160"/>
        </w:tabs>
        <w:ind w:left="2160" w:hanging="2160"/>
      </w:pPr>
      <w:rPr>
        <w:rFonts w:cs="Times New Roman" w:hint="default"/>
      </w:rPr>
    </w:lvl>
    <w:lvl w:ilvl="1">
      <w:numFmt w:val="decimalZero"/>
      <w:lvlText w:val="%1.%2"/>
      <w:lvlJc w:val="left"/>
      <w:pPr>
        <w:tabs>
          <w:tab w:val="num" w:pos="2160"/>
        </w:tabs>
        <w:ind w:left="2160" w:hanging="2160"/>
      </w:pPr>
      <w:rPr>
        <w:rFonts w:cs="Times New Roman" w:hint="default"/>
      </w:rPr>
    </w:lvl>
    <w:lvl w:ilvl="2">
      <w:start w:val="11"/>
      <w:numFmt w:val="decimal"/>
      <w:lvlText w:val="%1.%2-%3.0"/>
      <w:lvlJc w:val="left"/>
      <w:pPr>
        <w:tabs>
          <w:tab w:val="num" w:pos="2160"/>
        </w:tabs>
        <w:ind w:left="2160" w:hanging="2160"/>
      </w:pPr>
      <w:rPr>
        <w:rFonts w:cs="Times New Roman" w:hint="default"/>
      </w:rPr>
    </w:lvl>
    <w:lvl w:ilvl="3">
      <w:start w:val="1"/>
      <w:numFmt w:val="decimalZero"/>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11607F3"/>
    <w:multiLevelType w:val="hybridMultilevel"/>
    <w:tmpl w:val="C52812FE"/>
    <w:lvl w:ilvl="0" w:tplc="878EFA60">
      <w:start w:val="1"/>
      <w:numFmt w:val="decimal"/>
      <w:lvlText w:val="%1."/>
      <w:lvlJc w:val="left"/>
      <w:pPr>
        <w:tabs>
          <w:tab w:val="num" w:pos="720"/>
        </w:tabs>
        <w:ind w:left="720" w:hanging="72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835510"/>
    <w:multiLevelType w:val="hybridMultilevel"/>
    <w:tmpl w:val="7F28A4B8"/>
    <w:lvl w:ilvl="0" w:tplc="25A44636">
      <w:start w:val="1"/>
      <w:numFmt w:val="decimal"/>
      <w:lvlText w:val="%1."/>
      <w:lvlJc w:val="left"/>
      <w:pPr>
        <w:tabs>
          <w:tab w:val="num" w:pos="720"/>
        </w:tabs>
        <w:ind w:left="720" w:hanging="720"/>
      </w:pPr>
      <w:rPr>
        <w:rFonts w:cs="Times New Roman"/>
      </w:rPr>
    </w:lvl>
    <w:lvl w:ilvl="1" w:tplc="BEFE86F6">
      <w:start w:val="2"/>
      <w:numFmt w:val="bullet"/>
      <w:lvlText w:val="-"/>
      <w:lvlJc w:val="left"/>
      <w:pPr>
        <w:tabs>
          <w:tab w:val="num" w:pos="1440"/>
        </w:tabs>
        <w:ind w:left="1440" w:hanging="360"/>
      </w:pPr>
      <w:rPr>
        <w:rFonts w:ascii="Arial" w:eastAsia="Times New Roman" w:hAnsi="Aria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26D6233"/>
    <w:multiLevelType w:val="hybridMultilevel"/>
    <w:tmpl w:val="1B2EF32A"/>
    <w:lvl w:ilvl="0" w:tplc="6F78E74A">
      <w:start w:val="10"/>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1D3ADF"/>
    <w:multiLevelType w:val="multilevel"/>
    <w:tmpl w:val="88A80998"/>
    <w:lvl w:ilvl="0">
      <w:start w:val="10"/>
      <w:numFmt w:val="decimal"/>
      <w:lvlText w:val="%1"/>
      <w:lvlJc w:val="left"/>
      <w:pPr>
        <w:tabs>
          <w:tab w:val="num" w:pos="1155"/>
        </w:tabs>
        <w:ind w:left="1155" w:hanging="1155"/>
      </w:pPr>
      <w:rPr>
        <w:rFonts w:cs="Times New Roman" w:hint="default"/>
      </w:rPr>
    </w:lvl>
    <w:lvl w:ilvl="1">
      <w:numFmt w:val="decimalZero"/>
      <w:lvlText w:val="%1.%2"/>
      <w:lvlJc w:val="left"/>
      <w:pPr>
        <w:tabs>
          <w:tab w:val="num" w:pos="1155"/>
        </w:tabs>
        <w:ind w:left="1155" w:hanging="1155"/>
      </w:pPr>
      <w:rPr>
        <w:rFonts w:cs="Times New Roman" w:hint="default"/>
      </w:rPr>
    </w:lvl>
    <w:lvl w:ilvl="2">
      <w:start w:val="11"/>
      <w:numFmt w:val="decimal"/>
      <w:lvlText w:val="%1.%2-%3.0"/>
      <w:lvlJc w:val="left"/>
      <w:pPr>
        <w:tabs>
          <w:tab w:val="num" w:pos="1155"/>
        </w:tabs>
        <w:ind w:left="1155" w:hanging="1155"/>
      </w:pPr>
      <w:rPr>
        <w:rFonts w:cs="Times New Roman" w:hint="default"/>
      </w:rPr>
    </w:lvl>
    <w:lvl w:ilvl="3">
      <w:start w:val="1"/>
      <w:numFmt w:val="decimalZero"/>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9C23E87"/>
    <w:multiLevelType w:val="multilevel"/>
    <w:tmpl w:val="0748D5D8"/>
    <w:lvl w:ilvl="0">
      <w:start w:val="10"/>
      <w:numFmt w:val="decimal"/>
      <w:lvlText w:val="%1.0-"/>
      <w:lvlJc w:val="left"/>
      <w:pPr>
        <w:tabs>
          <w:tab w:val="num" w:pos="2160"/>
        </w:tabs>
        <w:ind w:left="2160" w:hanging="2160"/>
      </w:pPr>
      <w:rPr>
        <w:rFonts w:cs="Times New Roman" w:hint="default"/>
      </w:rPr>
    </w:lvl>
    <w:lvl w:ilvl="1">
      <w:start w:val="1"/>
      <w:numFmt w:val="decimalZero"/>
      <w:lvlText w:val="%1.%2-"/>
      <w:lvlJc w:val="left"/>
      <w:pPr>
        <w:tabs>
          <w:tab w:val="num" w:pos="2880"/>
        </w:tabs>
        <w:ind w:left="2880" w:hanging="2160"/>
      </w:pPr>
      <w:rPr>
        <w:rFonts w:cs="Times New Roman" w:hint="default"/>
      </w:rPr>
    </w:lvl>
    <w:lvl w:ilvl="2">
      <w:start w:val="1"/>
      <w:numFmt w:val="decimal"/>
      <w:lvlText w:val="%1.%2-%3."/>
      <w:lvlJc w:val="left"/>
      <w:pPr>
        <w:tabs>
          <w:tab w:val="num" w:pos="3600"/>
        </w:tabs>
        <w:ind w:left="3600" w:hanging="2160"/>
      </w:pPr>
      <w:rPr>
        <w:rFonts w:cs="Times New Roman" w:hint="default"/>
      </w:rPr>
    </w:lvl>
    <w:lvl w:ilvl="3">
      <w:start w:val="1"/>
      <w:numFmt w:val="decimalZero"/>
      <w:lvlText w:val="%1.%2-%3.%4."/>
      <w:lvlJc w:val="left"/>
      <w:pPr>
        <w:tabs>
          <w:tab w:val="num" w:pos="4320"/>
        </w:tabs>
        <w:ind w:left="4320" w:hanging="2160"/>
      </w:pPr>
      <w:rPr>
        <w:rFonts w:cs="Times New Roman" w:hint="default"/>
      </w:rPr>
    </w:lvl>
    <w:lvl w:ilvl="4">
      <w:start w:val="1"/>
      <w:numFmt w:val="decimal"/>
      <w:lvlText w:val="%1.%2-%3.%4.%5."/>
      <w:lvlJc w:val="left"/>
      <w:pPr>
        <w:tabs>
          <w:tab w:val="num" w:pos="5040"/>
        </w:tabs>
        <w:ind w:left="5040" w:hanging="216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2D5B3C32"/>
    <w:multiLevelType w:val="hybridMultilevel"/>
    <w:tmpl w:val="615470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DEE3AAF"/>
    <w:multiLevelType w:val="hybridMultilevel"/>
    <w:tmpl w:val="B93E04F0"/>
    <w:lvl w:ilvl="0" w:tplc="6F78E74A">
      <w:start w:val="10"/>
      <w:numFmt w:val="bullet"/>
      <w:lvlText w:val="-"/>
      <w:lvlJc w:val="left"/>
      <w:pPr>
        <w:tabs>
          <w:tab w:val="num" w:pos="2520"/>
        </w:tabs>
        <w:ind w:left="2520" w:hanging="360"/>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2F074C82"/>
    <w:multiLevelType w:val="hybridMultilevel"/>
    <w:tmpl w:val="9FE83922"/>
    <w:lvl w:ilvl="0" w:tplc="25A44636">
      <w:start w:val="1"/>
      <w:numFmt w:val="decimal"/>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F2B5328"/>
    <w:multiLevelType w:val="hybridMultilevel"/>
    <w:tmpl w:val="07C2EDA6"/>
    <w:lvl w:ilvl="0" w:tplc="8344384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8669B5"/>
    <w:multiLevelType w:val="multilevel"/>
    <w:tmpl w:val="2C308E38"/>
    <w:lvl w:ilvl="0">
      <w:start w:val="10"/>
      <w:numFmt w:val="decimal"/>
      <w:lvlText w:val="%1"/>
      <w:lvlJc w:val="left"/>
      <w:pPr>
        <w:tabs>
          <w:tab w:val="num" w:pos="2160"/>
        </w:tabs>
        <w:ind w:left="2160" w:hanging="2160"/>
      </w:pPr>
      <w:rPr>
        <w:rFonts w:cs="Times New Roman" w:hint="default"/>
      </w:rPr>
    </w:lvl>
    <w:lvl w:ilvl="1">
      <w:numFmt w:val="decimalZero"/>
      <w:lvlText w:val="%1.%2"/>
      <w:lvlJc w:val="left"/>
      <w:pPr>
        <w:tabs>
          <w:tab w:val="num" w:pos="2160"/>
        </w:tabs>
        <w:ind w:left="2160" w:hanging="2160"/>
      </w:pPr>
      <w:rPr>
        <w:rFonts w:cs="Times New Roman" w:hint="default"/>
      </w:rPr>
    </w:lvl>
    <w:lvl w:ilvl="2">
      <w:start w:val="11"/>
      <w:numFmt w:val="decimal"/>
      <w:lvlText w:val="%1.%2-%3.0"/>
      <w:lvlJc w:val="left"/>
      <w:pPr>
        <w:tabs>
          <w:tab w:val="num" w:pos="2160"/>
        </w:tabs>
        <w:ind w:left="2160" w:hanging="2160"/>
      </w:pPr>
      <w:rPr>
        <w:rFonts w:cs="Times New Roman" w:hint="default"/>
      </w:rPr>
    </w:lvl>
    <w:lvl w:ilvl="3">
      <w:start w:val="1"/>
      <w:numFmt w:val="decimalZero"/>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96D40F8"/>
    <w:multiLevelType w:val="multilevel"/>
    <w:tmpl w:val="79C2637A"/>
    <w:lvl w:ilvl="0">
      <w:start w:val="12"/>
      <w:numFmt w:val="decimal"/>
      <w:lvlText w:val="%1"/>
      <w:lvlJc w:val="left"/>
      <w:pPr>
        <w:tabs>
          <w:tab w:val="num" w:pos="2160"/>
        </w:tabs>
        <w:ind w:left="2160" w:hanging="2160"/>
      </w:pPr>
      <w:rPr>
        <w:rFonts w:cs="Times New Roman" w:hint="default"/>
      </w:rPr>
    </w:lvl>
    <w:lvl w:ilvl="1">
      <w:numFmt w:val="decimalZero"/>
      <w:lvlText w:val="%1.%2"/>
      <w:lvlJc w:val="left"/>
      <w:pPr>
        <w:tabs>
          <w:tab w:val="num" w:pos="2160"/>
        </w:tabs>
        <w:ind w:left="2160" w:hanging="2160"/>
      </w:pPr>
      <w:rPr>
        <w:rFonts w:cs="Times New Roman" w:hint="default"/>
      </w:rPr>
    </w:lvl>
    <w:lvl w:ilvl="2">
      <w:start w:val="13"/>
      <w:numFmt w:val="decimal"/>
      <w:lvlText w:val="%1.%2-%3"/>
      <w:lvlJc w:val="left"/>
      <w:pPr>
        <w:tabs>
          <w:tab w:val="num" w:pos="2160"/>
        </w:tabs>
        <w:ind w:left="2160" w:hanging="2160"/>
      </w:pPr>
      <w:rPr>
        <w:rFonts w:cs="Times New Roman" w:hint="default"/>
      </w:rPr>
    </w:lvl>
    <w:lvl w:ilvl="3">
      <w:start w:val="30"/>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CF53B1F"/>
    <w:multiLevelType w:val="hybridMultilevel"/>
    <w:tmpl w:val="BCD0F094"/>
    <w:lvl w:ilvl="0" w:tplc="FC3A04A2">
      <w:start w:val="1"/>
      <w:numFmt w:val="decimal"/>
      <w:lvlText w:val="%1."/>
      <w:lvlJc w:val="left"/>
      <w:pPr>
        <w:ind w:left="1080" w:hanging="72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1533BF0"/>
    <w:multiLevelType w:val="multilevel"/>
    <w:tmpl w:val="DB66603A"/>
    <w:lvl w:ilvl="0">
      <w:start w:val="1"/>
      <w:numFmt w:val="upperRoman"/>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1DF3785"/>
    <w:multiLevelType w:val="hybridMultilevel"/>
    <w:tmpl w:val="1D20DCFA"/>
    <w:lvl w:ilvl="0" w:tplc="725E16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62E087F"/>
    <w:multiLevelType w:val="hybridMultilevel"/>
    <w:tmpl w:val="29A888BC"/>
    <w:lvl w:ilvl="0" w:tplc="6F78E74A">
      <w:start w:val="10"/>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0C3296"/>
    <w:multiLevelType w:val="hybridMultilevel"/>
    <w:tmpl w:val="B66A9B5E"/>
    <w:lvl w:ilvl="0" w:tplc="0D24971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520E8A"/>
    <w:multiLevelType w:val="hybridMultilevel"/>
    <w:tmpl w:val="D0BEA81E"/>
    <w:lvl w:ilvl="0" w:tplc="25A44636">
      <w:start w:val="1"/>
      <w:numFmt w:val="decimal"/>
      <w:lvlText w:val="%1."/>
      <w:lvlJc w:val="left"/>
      <w:pPr>
        <w:tabs>
          <w:tab w:val="num" w:pos="720"/>
        </w:tabs>
        <w:ind w:left="720" w:hanging="720"/>
      </w:pPr>
      <w:rPr>
        <w:rFonts w:cs="Times New Roman"/>
      </w:rPr>
    </w:lvl>
    <w:lvl w:ilvl="1" w:tplc="E22412CC">
      <w:start w:val="16"/>
      <w:numFmt w:val="bullet"/>
      <w:lvlText w:val="-"/>
      <w:lvlJc w:val="left"/>
      <w:pPr>
        <w:tabs>
          <w:tab w:val="num" w:pos="1440"/>
        </w:tabs>
        <w:ind w:left="1440" w:hanging="360"/>
      </w:pPr>
      <w:rPr>
        <w:rFonts w:ascii="Times New Roman" w:eastAsia="Times New Roman" w:hAnsi="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4B43737"/>
    <w:multiLevelType w:val="hybridMultilevel"/>
    <w:tmpl w:val="7724FD1E"/>
    <w:lvl w:ilvl="0" w:tplc="F8A6B722">
      <w:start w:val="1"/>
      <w:numFmt w:val="decimal"/>
      <w:lvlText w:val="%1."/>
      <w:lvlJc w:val="left"/>
      <w:pPr>
        <w:tabs>
          <w:tab w:val="num" w:pos="720"/>
        </w:tabs>
        <w:ind w:left="720" w:hanging="720"/>
      </w:pPr>
      <w:rPr>
        <w:rFonts w:cs="Times New Roman"/>
        <w:b w:val="0"/>
        <w:i w:val="0"/>
      </w:rPr>
    </w:lvl>
    <w:lvl w:ilvl="1" w:tplc="0409000F">
      <w:start w:val="1"/>
      <w:numFmt w:val="decimal"/>
      <w:lvlText w:val="%2."/>
      <w:lvlJc w:val="left"/>
      <w:pPr>
        <w:tabs>
          <w:tab w:val="num" w:pos="1080"/>
        </w:tabs>
        <w:ind w:left="1080" w:hanging="360"/>
      </w:pPr>
      <w:rPr>
        <w:rFonts w:cs="Times New Roman"/>
      </w:rPr>
    </w:lvl>
    <w:lvl w:ilvl="2" w:tplc="EBB2C058">
      <w:start w:val="1"/>
      <w:numFmt w:val="lowerRoman"/>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b w:val="0"/>
        <w:i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5BF3C1C"/>
    <w:multiLevelType w:val="hybridMultilevel"/>
    <w:tmpl w:val="941C87A2"/>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7B0CCA"/>
    <w:multiLevelType w:val="hybridMultilevel"/>
    <w:tmpl w:val="FCB0B236"/>
    <w:lvl w:ilvl="0" w:tplc="89D41B2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A5C2658"/>
    <w:multiLevelType w:val="hybridMultilevel"/>
    <w:tmpl w:val="D8688BB0"/>
    <w:lvl w:ilvl="0" w:tplc="52CE340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F561044"/>
    <w:multiLevelType w:val="multilevel"/>
    <w:tmpl w:val="81926194"/>
    <w:lvl w:ilvl="0">
      <w:start w:val="15"/>
      <w:numFmt w:val="decimal"/>
      <w:lvlText w:val="%1"/>
      <w:lvlJc w:val="left"/>
      <w:pPr>
        <w:tabs>
          <w:tab w:val="num" w:pos="2160"/>
        </w:tabs>
        <w:ind w:left="2160" w:hanging="2160"/>
      </w:pPr>
      <w:rPr>
        <w:rFonts w:cs="Times New Roman" w:hint="default"/>
      </w:rPr>
    </w:lvl>
    <w:lvl w:ilvl="1">
      <w:numFmt w:val="decimalZero"/>
      <w:lvlText w:val="%1.%2"/>
      <w:lvlJc w:val="left"/>
      <w:pPr>
        <w:tabs>
          <w:tab w:val="num" w:pos="2160"/>
        </w:tabs>
        <w:ind w:left="2160" w:hanging="2160"/>
      </w:pPr>
      <w:rPr>
        <w:rFonts w:cs="Times New Roman" w:hint="default"/>
      </w:rPr>
    </w:lvl>
    <w:lvl w:ilvl="2">
      <w:start w:val="16"/>
      <w:numFmt w:val="decimal"/>
      <w:lvlText w:val="%1.%2-%3.0"/>
      <w:lvlJc w:val="left"/>
      <w:pPr>
        <w:tabs>
          <w:tab w:val="num" w:pos="2160"/>
        </w:tabs>
        <w:ind w:left="2160" w:hanging="2160"/>
      </w:pPr>
      <w:rPr>
        <w:rFonts w:cs="Times New Roman" w:hint="default"/>
      </w:rPr>
    </w:lvl>
    <w:lvl w:ilvl="3">
      <w:start w:val="1"/>
      <w:numFmt w:val="decimalZero"/>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72FC0E91"/>
    <w:multiLevelType w:val="hybridMultilevel"/>
    <w:tmpl w:val="016260C2"/>
    <w:lvl w:ilvl="0" w:tplc="25A44636">
      <w:start w:val="1"/>
      <w:numFmt w:val="decimal"/>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6223E3E"/>
    <w:multiLevelType w:val="hybridMultilevel"/>
    <w:tmpl w:val="4DD8B1DC"/>
    <w:lvl w:ilvl="0" w:tplc="BBEE086E">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7A1559C3"/>
    <w:multiLevelType w:val="hybridMultilevel"/>
    <w:tmpl w:val="F5E05B10"/>
    <w:lvl w:ilvl="0" w:tplc="57F4950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A874F37"/>
    <w:multiLevelType w:val="hybridMultilevel"/>
    <w:tmpl w:val="84AEACB0"/>
    <w:lvl w:ilvl="0" w:tplc="6F78E74A">
      <w:start w:val="10"/>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0A1BF6"/>
    <w:multiLevelType w:val="multilevel"/>
    <w:tmpl w:val="DB14147C"/>
    <w:lvl w:ilvl="0">
      <w:start w:val="10"/>
      <w:numFmt w:val="decimal"/>
      <w:lvlText w:val="%1"/>
      <w:lvlJc w:val="left"/>
      <w:pPr>
        <w:tabs>
          <w:tab w:val="num" w:pos="2160"/>
        </w:tabs>
        <w:ind w:left="2160" w:hanging="2160"/>
      </w:pPr>
      <w:rPr>
        <w:rFonts w:cs="Times New Roman" w:hint="default"/>
      </w:rPr>
    </w:lvl>
    <w:lvl w:ilvl="1">
      <w:numFmt w:val="decimalZero"/>
      <w:lvlText w:val="%1.%2"/>
      <w:lvlJc w:val="left"/>
      <w:pPr>
        <w:tabs>
          <w:tab w:val="num" w:pos="2160"/>
        </w:tabs>
        <w:ind w:left="2160" w:hanging="2160"/>
      </w:pPr>
      <w:rPr>
        <w:rFonts w:cs="Times New Roman" w:hint="default"/>
      </w:rPr>
    </w:lvl>
    <w:lvl w:ilvl="2">
      <w:start w:val="11"/>
      <w:numFmt w:val="decimal"/>
      <w:lvlText w:val="%1.%2-%3.0"/>
      <w:lvlJc w:val="left"/>
      <w:pPr>
        <w:tabs>
          <w:tab w:val="num" w:pos="2160"/>
        </w:tabs>
        <w:ind w:left="2160" w:hanging="2160"/>
      </w:pPr>
      <w:rPr>
        <w:rFonts w:cs="Times New Roman" w:hint="default"/>
      </w:rPr>
    </w:lvl>
    <w:lvl w:ilvl="3">
      <w:start w:val="1"/>
      <w:numFmt w:val="decimalZero"/>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5"/>
  </w:num>
  <w:num w:numId="2">
    <w:abstractNumId w:val="11"/>
  </w:num>
  <w:num w:numId="3">
    <w:abstractNumId w:val="17"/>
  </w:num>
  <w:num w:numId="4">
    <w:abstractNumId w:val="7"/>
  </w:num>
  <w:num w:numId="5">
    <w:abstractNumId w:val="12"/>
  </w:num>
  <w:num w:numId="6">
    <w:abstractNumId w:val="14"/>
  </w:num>
  <w:num w:numId="7">
    <w:abstractNumId w:val="18"/>
  </w:num>
  <w:num w:numId="8">
    <w:abstractNumId w:val="34"/>
  </w:num>
  <w:num w:numId="9">
    <w:abstractNumId w:val="22"/>
  </w:num>
  <w:num w:numId="10">
    <w:abstractNumId w:val="10"/>
  </w:num>
  <w:num w:numId="11">
    <w:abstractNumId w:val="30"/>
  </w:num>
  <w:num w:numId="12">
    <w:abstractNumId w:val="24"/>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31"/>
  </w:num>
  <w:num w:numId="17">
    <w:abstractNumId w:val="1"/>
  </w:num>
  <w:num w:numId="18">
    <w:abstractNumId w:val="4"/>
  </w:num>
  <w:num w:numId="19">
    <w:abstractNumId w:val="13"/>
  </w:num>
  <w:num w:numId="20">
    <w:abstractNumId w:val="5"/>
  </w:num>
  <w:num w:numId="21">
    <w:abstractNumId w:val="25"/>
  </w:num>
  <w:num w:numId="22">
    <w:abstractNumId w:val="20"/>
  </w:num>
  <w:num w:numId="23">
    <w:abstractNumId w:val="26"/>
  </w:num>
  <w:num w:numId="24">
    <w:abstractNumId w:val="0"/>
  </w:num>
  <w:num w:numId="25">
    <w:abstractNumId w:val="28"/>
  </w:num>
  <w:num w:numId="26">
    <w:abstractNumId w:val="21"/>
  </w:num>
  <w:num w:numId="27">
    <w:abstractNumId w:val="3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
  </w:num>
  <w:num w:numId="35">
    <w:abstractNumId w:val="23"/>
  </w:num>
  <w:num w:numId="36">
    <w:abstractNumId w:val="16"/>
  </w:num>
  <w:num w:numId="37">
    <w:abstractNumId w:val="29"/>
  </w:num>
  <w:num w:numId="38">
    <w:abstractNumId w:val="1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5D"/>
    <w:rsid w:val="00005A43"/>
    <w:rsid w:val="0001267B"/>
    <w:rsid w:val="000211C8"/>
    <w:rsid w:val="00025595"/>
    <w:rsid w:val="0003359A"/>
    <w:rsid w:val="00034667"/>
    <w:rsid w:val="00034A69"/>
    <w:rsid w:val="00043369"/>
    <w:rsid w:val="00047A89"/>
    <w:rsid w:val="00047BD2"/>
    <w:rsid w:val="00060782"/>
    <w:rsid w:val="000646DB"/>
    <w:rsid w:val="000703E0"/>
    <w:rsid w:val="00072925"/>
    <w:rsid w:val="00075882"/>
    <w:rsid w:val="00076AA4"/>
    <w:rsid w:val="000874DB"/>
    <w:rsid w:val="0009360A"/>
    <w:rsid w:val="00094C7E"/>
    <w:rsid w:val="0009757A"/>
    <w:rsid w:val="000A4F83"/>
    <w:rsid w:val="000C31C6"/>
    <w:rsid w:val="000C7917"/>
    <w:rsid w:val="000D1A63"/>
    <w:rsid w:val="000D2645"/>
    <w:rsid w:val="000D5C85"/>
    <w:rsid w:val="000D6191"/>
    <w:rsid w:val="000D7E61"/>
    <w:rsid w:val="000E0F31"/>
    <w:rsid w:val="001040FB"/>
    <w:rsid w:val="001104EB"/>
    <w:rsid w:val="00110543"/>
    <w:rsid w:val="00115C33"/>
    <w:rsid w:val="00121965"/>
    <w:rsid w:val="0012199B"/>
    <w:rsid w:val="00124F46"/>
    <w:rsid w:val="00126B29"/>
    <w:rsid w:val="00126DFA"/>
    <w:rsid w:val="00141684"/>
    <w:rsid w:val="00142897"/>
    <w:rsid w:val="00142D61"/>
    <w:rsid w:val="00143F24"/>
    <w:rsid w:val="0014613D"/>
    <w:rsid w:val="00150246"/>
    <w:rsid w:val="001516B5"/>
    <w:rsid w:val="00153B85"/>
    <w:rsid w:val="001542FE"/>
    <w:rsid w:val="0015463A"/>
    <w:rsid w:val="00154938"/>
    <w:rsid w:val="00174FA9"/>
    <w:rsid w:val="00177A57"/>
    <w:rsid w:val="0019004B"/>
    <w:rsid w:val="00196FD4"/>
    <w:rsid w:val="001A3228"/>
    <w:rsid w:val="001A42F2"/>
    <w:rsid w:val="001B0626"/>
    <w:rsid w:val="001B3963"/>
    <w:rsid w:val="001B3A6D"/>
    <w:rsid w:val="001D0F3B"/>
    <w:rsid w:val="001D1DD2"/>
    <w:rsid w:val="001D2D70"/>
    <w:rsid w:val="001E0B8E"/>
    <w:rsid w:val="00203D59"/>
    <w:rsid w:val="00206DE2"/>
    <w:rsid w:val="002212E9"/>
    <w:rsid w:val="00233596"/>
    <w:rsid w:val="00234642"/>
    <w:rsid w:val="00245133"/>
    <w:rsid w:val="00245AAC"/>
    <w:rsid w:val="0025262A"/>
    <w:rsid w:val="002565E7"/>
    <w:rsid w:val="00261DF7"/>
    <w:rsid w:val="002746D4"/>
    <w:rsid w:val="0028445A"/>
    <w:rsid w:val="00295B1F"/>
    <w:rsid w:val="002A048E"/>
    <w:rsid w:val="002A7B84"/>
    <w:rsid w:val="002B0E10"/>
    <w:rsid w:val="002B164C"/>
    <w:rsid w:val="002B573A"/>
    <w:rsid w:val="002C279C"/>
    <w:rsid w:val="002D13CD"/>
    <w:rsid w:val="002D425B"/>
    <w:rsid w:val="002D7CBD"/>
    <w:rsid w:val="002E67C4"/>
    <w:rsid w:val="002F191E"/>
    <w:rsid w:val="002F3DAA"/>
    <w:rsid w:val="002F7C3C"/>
    <w:rsid w:val="00302139"/>
    <w:rsid w:val="003040F6"/>
    <w:rsid w:val="00311122"/>
    <w:rsid w:val="003137C6"/>
    <w:rsid w:val="00341F76"/>
    <w:rsid w:val="00343A84"/>
    <w:rsid w:val="00350D74"/>
    <w:rsid w:val="003513AF"/>
    <w:rsid w:val="00353DF9"/>
    <w:rsid w:val="00354778"/>
    <w:rsid w:val="00354AB8"/>
    <w:rsid w:val="003722F3"/>
    <w:rsid w:val="00372319"/>
    <w:rsid w:val="00372955"/>
    <w:rsid w:val="00373634"/>
    <w:rsid w:val="00373D08"/>
    <w:rsid w:val="00374412"/>
    <w:rsid w:val="003776B1"/>
    <w:rsid w:val="003776BB"/>
    <w:rsid w:val="003813F6"/>
    <w:rsid w:val="0038551B"/>
    <w:rsid w:val="00390C55"/>
    <w:rsid w:val="00391BB2"/>
    <w:rsid w:val="00392808"/>
    <w:rsid w:val="0039499A"/>
    <w:rsid w:val="00396AE0"/>
    <w:rsid w:val="003A0BA1"/>
    <w:rsid w:val="003A2C1C"/>
    <w:rsid w:val="003A39E5"/>
    <w:rsid w:val="003A7470"/>
    <w:rsid w:val="003C00EC"/>
    <w:rsid w:val="003C76D2"/>
    <w:rsid w:val="003D2958"/>
    <w:rsid w:val="003E1CC2"/>
    <w:rsid w:val="004141A5"/>
    <w:rsid w:val="00421206"/>
    <w:rsid w:val="00421F63"/>
    <w:rsid w:val="00426B4C"/>
    <w:rsid w:val="00427F34"/>
    <w:rsid w:val="0043586D"/>
    <w:rsid w:val="00436214"/>
    <w:rsid w:val="00437534"/>
    <w:rsid w:val="0044170C"/>
    <w:rsid w:val="0044250D"/>
    <w:rsid w:val="004430F5"/>
    <w:rsid w:val="00454C9C"/>
    <w:rsid w:val="004605A0"/>
    <w:rsid w:val="00460C37"/>
    <w:rsid w:val="004610D5"/>
    <w:rsid w:val="004623F8"/>
    <w:rsid w:val="004628CA"/>
    <w:rsid w:val="00465B83"/>
    <w:rsid w:val="0046612C"/>
    <w:rsid w:val="00474888"/>
    <w:rsid w:val="00474B75"/>
    <w:rsid w:val="00480518"/>
    <w:rsid w:val="00490E02"/>
    <w:rsid w:val="004A3E96"/>
    <w:rsid w:val="004A5E90"/>
    <w:rsid w:val="004A73E9"/>
    <w:rsid w:val="004A75D9"/>
    <w:rsid w:val="004B4B5C"/>
    <w:rsid w:val="004C3355"/>
    <w:rsid w:val="004C6D06"/>
    <w:rsid w:val="004D0794"/>
    <w:rsid w:val="004E3347"/>
    <w:rsid w:val="004E7340"/>
    <w:rsid w:val="004F30E2"/>
    <w:rsid w:val="004F6D7F"/>
    <w:rsid w:val="00502F7B"/>
    <w:rsid w:val="00504108"/>
    <w:rsid w:val="00504845"/>
    <w:rsid w:val="0050574D"/>
    <w:rsid w:val="00506461"/>
    <w:rsid w:val="00511C3A"/>
    <w:rsid w:val="005151E1"/>
    <w:rsid w:val="00515CC9"/>
    <w:rsid w:val="00516444"/>
    <w:rsid w:val="00520F58"/>
    <w:rsid w:val="00530638"/>
    <w:rsid w:val="005326AD"/>
    <w:rsid w:val="00537D4C"/>
    <w:rsid w:val="00543F99"/>
    <w:rsid w:val="005445FD"/>
    <w:rsid w:val="0055211A"/>
    <w:rsid w:val="005526D5"/>
    <w:rsid w:val="00557673"/>
    <w:rsid w:val="00560A47"/>
    <w:rsid w:val="005620B7"/>
    <w:rsid w:val="00565E24"/>
    <w:rsid w:val="005673FB"/>
    <w:rsid w:val="00571A3F"/>
    <w:rsid w:val="00572936"/>
    <w:rsid w:val="005730D2"/>
    <w:rsid w:val="005758CD"/>
    <w:rsid w:val="00576A15"/>
    <w:rsid w:val="00576DC0"/>
    <w:rsid w:val="00582411"/>
    <w:rsid w:val="00583F58"/>
    <w:rsid w:val="00592214"/>
    <w:rsid w:val="005A35A4"/>
    <w:rsid w:val="005A46E8"/>
    <w:rsid w:val="005B32C3"/>
    <w:rsid w:val="005C2132"/>
    <w:rsid w:val="005C27DB"/>
    <w:rsid w:val="005C35DA"/>
    <w:rsid w:val="005C608F"/>
    <w:rsid w:val="005D343F"/>
    <w:rsid w:val="005D6194"/>
    <w:rsid w:val="005E35E1"/>
    <w:rsid w:val="005E6E5F"/>
    <w:rsid w:val="005E79F7"/>
    <w:rsid w:val="005F70E9"/>
    <w:rsid w:val="00600E40"/>
    <w:rsid w:val="0060108B"/>
    <w:rsid w:val="0060348F"/>
    <w:rsid w:val="00621637"/>
    <w:rsid w:val="00623853"/>
    <w:rsid w:val="0063497D"/>
    <w:rsid w:val="006372C7"/>
    <w:rsid w:val="00644EC9"/>
    <w:rsid w:val="006521C6"/>
    <w:rsid w:val="00652874"/>
    <w:rsid w:val="006551E5"/>
    <w:rsid w:val="0065638F"/>
    <w:rsid w:val="00664099"/>
    <w:rsid w:val="0067453C"/>
    <w:rsid w:val="006833F2"/>
    <w:rsid w:val="00685E5F"/>
    <w:rsid w:val="006876A5"/>
    <w:rsid w:val="0069378B"/>
    <w:rsid w:val="006974A4"/>
    <w:rsid w:val="006A0929"/>
    <w:rsid w:val="006A62E3"/>
    <w:rsid w:val="006C1AE4"/>
    <w:rsid w:val="006C2B3B"/>
    <w:rsid w:val="006C779C"/>
    <w:rsid w:val="006D0795"/>
    <w:rsid w:val="006D22D9"/>
    <w:rsid w:val="006D2425"/>
    <w:rsid w:val="006D4C12"/>
    <w:rsid w:val="006D767D"/>
    <w:rsid w:val="006E1D77"/>
    <w:rsid w:val="006E489C"/>
    <w:rsid w:val="006E7DC8"/>
    <w:rsid w:val="006F0AF8"/>
    <w:rsid w:val="006F0C48"/>
    <w:rsid w:val="007038ED"/>
    <w:rsid w:val="007040A2"/>
    <w:rsid w:val="007060FF"/>
    <w:rsid w:val="00707AA7"/>
    <w:rsid w:val="00712D86"/>
    <w:rsid w:val="00717F9A"/>
    <w:rsid w:val="007329BF"/>
    <w:rsid w:val="0073722B"/>
    <w:rsid w:val="0075628E"/>
    <w:rsid w:val="00756486"/>
    <w:rsid w:val="007577F8"/>
    <w:rsid w:val="00766B4B"/>
    <w:rsid w:val="007706CD"/>
    <w:rsid w:val="007729B3"/>
    <w:rsid w:val="00773A55"/>
    <w:rsid w:val="00774448"/>
    <w:rsid w:val="007764C7"/>
    <w:rsid w:val="00776CB4"/>
    <w:rsid w:val="00783404"/>
    <w:rsid w:val="0079684A"/>
    <w:rsid w:val="007A1623"/>
    <w:rsid w:val="007A52E1"/>
    <w:rsid w:val="007B11ED"/>
    <w:rsid w:val="007B1B31"/>
    <w:rsid w:val="007B26A9"/>
    <w:rsid w:val="007B69B8"/>
    <w:rsid w:val="007C668B"/>
    <w:rsid w:val="007D1137"/>
    <w:rsid w:val="007D32AD"/>
    <w:rsid w:val="007D3646"/>
    <w:rsid w:val="007D75B0"/>
    <w:rsid w:val="007D7802"/>
    <w:rsid w:val="007E5A49"/>
    <w:rsid w:val="007F05F3"/>
    <w:rsid w:val="00814A5D"/>
    <w:rsid w:val="00817E88"/>
    <w:rsid w:val="008409EC"/>
    <w:rsid w:val="00843FA4"/>
    <w:rsid w:val="00844A1D"/>
    <w:rsid w:val="00846612"/>
    <w:rsid w:val="008602EC"/>
    <w:rsid w:val="00863D36"/>
    <w:rsid w:val="008644CA"/>
    <w:rsid w:val="008655D7"/>
    <w:rsid w:val="00872F80"/>
    <w:rsid w:val="00882F0F"/>
    <w:rsid w:val="0088617C"/>
    <w:rsid w:val="0089317F"/>
    <w:rsid w:val="00894020"/>
    <w:rsid w:val="008C1056"/>
    <w:rsid w:val="008D645B"/>
    <w:rsid w:val="008D790E"/>
    <w:rsid w:val="008E054F"/>
    <w:rsid w:val="008E2D81"/>
    <w:rsid w:val="008E3D0C"/>
    <w:rsid w:val="008F1296"/>
    <w:rsid w:val="00907BA6"/>
    <w:rsid w:val="0091217C"/>
    <w:rsid w:val="00916896"/>
    <w:rsid w:val="009279AB"/>
    <w:rsid w:val="00931B14"/>
    <w:rsid w:val="00934B0F"/>
    <w:rsid w:val="0093634D"/>
    <w:rsid w:val="00940AB5"/>
    <w:rsid w:val="009429B4"/>
    <w:rsid w:val="009439E6"/>
    <w:rsid w:val="009454A3"/>
    <w:rsid w:val="00952C39"/>
    <w:rsid w:val="00961A0F"/>
    <w:rsid w:val="009740C2"/>
    <w:rsid w:val="00982E2A"/>
    <w:rsid w:val="009870EF"/>
    <w:rsid w:val="00994119"/>
    <w:rsid w:val="009A3960"/>
    <w:rsid w:val="009A72E2"/>
    <w:rsid w:val="009A746D"/>
    <w:rsid w:val="009B6898"/>
    <w:rsid w:val="009B796E"/>
    <w:rsid w:val="009C2706"/>
    <w:rsid w:val="009F785D"/>
    <w:rsid w:val="00A02476"/>
    <w:rsid w:val="00A074D4"/>
    <w:rsid w:val="00A14B4B"/>
    <w:rsid w:val="00A22E2E"/>
    <w:rsid w:val="00A25152"/>
    <w:rsid w:val="00A25CF6"/>
    <w:rsid w:val="00A317BF"/>
    <w:rsid w:val="00A34FC4"/>
    <w:rsid w:val="00A359A8"/>
    <w:rsid w:val="00A37695"/>
    <w:rsid w:val="00A44519"/>
    <w:rsid w:val="00A57FAE"/>
    <w:rsid w:val="00A67EA3"/>
    <w:rsid w:val="00A7386E"/>
    <w:rsid w:val="00A764B0"/>
    <w:rsid w:val="00A80584"/>
    <w:rsid w:val="00A81369"/>
    <w:rsid w:val="00A83EC6"/>
    <w:rsid w:val="00A84D27"/>
    <w:rsid w:val="00A959EB"/>
    <w:rsid w:val="00AA58E9"/>
    <w:rsid w:val="00AB34AF"/>
    <w:rsid w:val="00AC7423"/>
    <w:rsid w:val="00AE5018"/>
    <w:rsid w:val="00AE6D9C"/>
    <w:rsid w:val="00AF5A16"/>
    <w:rsid w:val="00AF7A91"/>
    <w:rsid w:val="00AF7AD2"/>
    <w:rsid w:val="00B0067D"/>
    <w:rsid w:val="00B02FDE"/>
    <w:rsid w:val="00B051D1"/>
    <w:rsid w:val="00B05898"/>
    <w:rsid w:val="00B154A6"/>
    <w:rsid w:val="00B22BFD"/>
    <w:rsid w:val="00B243AE"/>
    <w:rsid w:val="00B27281"/>
    <w:rsid w:val="00B3369B"/>
    <w:rsid w:val="00B346DA"/>
    <w:rsid w:val="00B4119D"/>
    <w:rsid w:val="00B42F64"/>
    <w:rsid w:val="00B44582"/>
    <w:rsid w:val="00B52835"/>
    <w:rsid w:val="00B5348C"/>
    <w:rsid w:val="00B55589"/>
    <w:rsid w:val="00B60818"/>
    <w:rsid w:val="00B618AA"/>
    <w:rsid w:val="00B6660F"/>
    <w:rsid w:val="00B70B82"/>
    <w:rsid w:val="00B82CF4"/>
    <w:rsid w:val="00B87C75"/>
    <w:rsid w:val="00B9111F"/>
    <w:rsid w:val="00BA1055"/>
    <w:rsid w:val="00BA3766"/>
    <w:rsid w:val="00BA7745"/>
    <w:rsid w:val="00BC012E"/>
    <w:rsid w:val="00BD1E61"/>
    <w:rsid w:val="00BD33E4"/>
    <w:rsid w:val="00BE0CBC"/>
    <w:rsid w:val="00BE177E"/>
    <w:rsid w:val="00BE20FF"/>
    <w:rsid w:val="00BF0F8E"/>
    <w:rsid w:val="00BF3B57"/>
    <w:rsid w:val="00C0014B"/>
    <w:rsid w:val="00C13CC9"/>
    <w:rsid w:val="00C17A9D"/>
    <w:rsid w:val="00C25403"/>
    <w:rsid w:val="00C35489"/>
    <w:rsid w:val="00C52023"/>
    <w:rsid w:val="00C52A1C"/>
    <w:rsid w:val="00C55490"/>
    <w:rsid w:val="00C5567F"/>
    <w:rsid w:val="00C559BF"/>
    <w:rsid w:val="00C56943"/>
    <w:rsid w:val="00C60427"/>
    <w:rsid w:val="00C61D2B"/>
    <w:rsid w:val="00C74C44"/>
    <w:rsid w:val="00C767EE"/>
    <w:rsid w:val="00C76B89"/>
    <w:rsid w:val="00C76E8B"/>
    <w:rsid w:val="00C84D39"/>
    <w:rsid w:val="00C87F09"/>
    <w:rsid w:val="00C9033A"/>
    <w:rsid w:val="00C90365"/>
    <w:rsid w:val="00C936A2"/>
    <w:rsid w:val="00C936B0"/>
    <w:rsid w:val="00C97C93"/>
    <w:rsid w:val="00CA4C04"/>
    <w:rsid w:val="00CA5CFF"/>
    <w:rsid w:val="00CB5807"/>
    <w:rsid w:val="00CB6729"/>
    <w:rsid w:val="00CB70B8"/>
    <w:rsid w:val="00CC328B"/>
    <w:rsid w:val="00CC3F51"/>
    <w:rsid w:val="00CD0CAC"/>
    <w:rsid w:val="00CD2660"/>
    <w:rsid w:val="00CD3E73"/>
    <w:rsid w:val="00CD5240"/>
    <w:rsid w:val="00CD6005"/>
    <w:rsid w:val="00CD7B58"/>
    <w:rsid w:val="00CE086B"/>
    <w:rsid w:val="00CE0A5D"/>
    <w:rsid w:val="00CE4CC6"/>
    <w:rsid w:val="00D03A2C"/>
    <w:rsid w:val="00D056A6"/>
    <w:rsid w:val="00D13D1B"/>
    <w:rsid w:val="00D22BE2"/>
    <w:rsid w:val="00D431AC"/>
    <w:rsid w:val="00D451F6"/>
    <w:rsid w:val="00D50370"/>
    <w:rsid w:val="00D56E5F"/>
    <w:rsid w:val="00D60222"/>
    <w:rsid w:val="00D631B1"/>
    <w:rsid w:val="00D7200F"/>
    <w:rsid w:val="00D747DA"/>
    <w:rsid w:val="00D7682A"/>
    <w:rsid w:val="00D91203"/>
    <w:rsid w:val="00D920E7"/>
    <w:rsid w:val="00DA0560"/>
    <w:rsid w:val="00DB1CAA"/>
    <w:rsid w:val="00DB4BED"/>
    <w:rsid w:val="00DC07A1"/>
    <w:rsid w:val="00DC3292"/>
    <w:rsid w:val="00DD145E"/>
    <w:rsid w:val="00DD2FEA"/>
    <w:rsid w:val="00DD5251"/>
    <w:rsid w:val="00DD5A07"/>
    <w:rsid w:val="00DE1ACC"/>
    <w:rsid w:val="00DE62F5"/>
    <w:rsid w:val="00DE7418"/>
    <w:rsid w:val="00E32F68"/>
    <w:rsid w:val="00E3382E"/>
    <w:rsid w:val="00E400C6"/>
    <w:rsid w:val="00E4459A"/>
    <w:rsid w:val="00E50638"/>
    <w:rsid w:val="00E5171C"/>
    <w:rsid w:val="00E72336"/>
    <w:rsid w:val="00E7594C"/>
    <w:rsid w:val="00E84140"/>
    <w:rsid w:val="00E86D70"/>
    <w:rsid w:val="00E93C40"/>
    <w:rsid w:val="00E96FE1"/>
    <w:rsid w:val="00EA1BBF"/>
    <w:rsid w:val="00EA339B"/>
    <w:rsid w:val="00EA46C8"/>
    <w:rsid w:val="00EA6B04"/>
    <w:rsid w:val="00EB055C"/>
    <w:rsid w:val="00EB3D14"/>
    <w:rsid w:val="00EC1ADC"/>
    <w:rsid w:val="00EC3B63"/>
    <w:rsid w:val="00EC5873"/>
    <w:rsid w:val="00ED579F"/>
    <w:rsid w:val="00EF1C09"/>
    <w:rsid w:val="00EF37AA"/>
    <w:rsid w:val="00EF7EAC"/>
    <w:rsid w:val="00F10B0E"/>
    <w:rsid w:val="00F110AA"/>
    <w:rsid w:val="00F223B7"/>
    <w:rsid w:val="00F3672E"/>
    <w:rsid w:val="00F36BA4"/>
    <w:rsid w:val="00F42EC4"/>
    <w:rsid w:val="00F51228"/>
    <w:rsid w:val="00F567A8"/>
    <w:rsid w:val="00F57A26"/>
    <w:rsid w:val="00F61A46"/>
    <w:rsid w:val="00F67EDB"/>
    <w:rsid w:val="00F7189B"/>
    <w:rsid w:val="00F74C90"/>
    <w:rsid w:val="00F75BF6"/>
    <w:rsid w:val="00F85DF4"/>
    <w:rsid w:val="00F972A8"/>
    <w:rsid w:val="00FA5203"/>
    <w:rsid w:val="00FA78D8"/>
    <w:rsid w:val="00FA7BCA"/>
    <w:rsid w:val="00FC31AF"/>
    <w:rsid w:val="00FC7B2F"/>
    <w:rsid w:val="00FD7E64"/>
    <w:rsid w:val="00FE08E1"/>
    <w:rsid w:val="00FE7D26"/>
    <w:rsid w:val="00FF6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1F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5638F"/>
    <w:rPr>
      <w:rFonts w:cs="Times New Roman"/>
      <w:b/>
    </w:rPr>
  </w:style>
  <w:style w:type="paragraph" w:styleId="Header">
    <w:name w:val="header"/>
    <w:basedOn w:val="Normal"/>
    <w:link w:val="HeaderChar"/>
    <w:uiPriority w:val="99"/>
    <w:rsid w:val="00391BB2"/>
    <w:pPr>
      <w:tabs>
        <w:tab w:val="center" w:pos="4320"/>
        <w:tab w:val="right" w:pos="8640"/>
      </w:tabs>
    </w:pPr>
  </w:style>
  <w:style w:type="character" w:customStyle="1" w:styleId="HeaderChar">
    <w:name w:val="Header Char"/>
    <w:basedOn w:val="DefaultParagraphFont"/>
    <w:link w:val="Header"/>
    <w:uiPriority w:val="99"/>
    <w:locked/>
    <w:rsid w:val="00DE62F5"/>
    <w:rPr>
      <w:rFonts w:cs="Times New Roman"/>
      <w:sz w:val="24"/>
      <w:lang w:val="en-US" w:eastAsia="en-US"/>
    </w:rPr>
  </w:style>
  <w:style w:type="paragraph" w:styleId="Footer">
    <w:name w:val="footer"/>
    <w:basedOn w:val="Normal"/>
    <w:link w:val="FooterChar"/>
    <w:uiPriority w:val="99"/>
    <w:rsid w:val="00391BB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D0F3B"/>
    <w:rPr>
      <w:rFonts w:cs="Times New Roman"/>
    </w:rPr>
  </w:style>
  <w:style w:type="paragraph" w:styleId="BalloonText">
    <w:name w:val="Balloon Text"/>
    <w:basedOn w:val="Normal"/>
    <w:link w:val="BalloonTextChar"/>
    <w:uiPriority w:val="99"/>
    <w:semiHidden/>
    <w:rsid w:val="007E5A4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543F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3586D"/>
    <w:rPr>
      <w:rFonts w:cs="Times New Roman"/>
      <w:color w:val="0000FF"/>
      <w:u w:val="single"/>
    </w:rPr>
  </w:style>
  <w:style w:type="paragraph" w:styleId="BodyText">
    <w:name w:val="Body Text"/>
    <w:basedOn w:val="Normal"/>
    <w:link w:val="BodyTextChar"/>
    <w:uiPriority w:val="99"/>
    <w:rsid w:val="00F67EDB"/>
    <w:pPr>
      <w:jc w:val="both"/>
    </w:pPr>
    <w:rPr>
      <w:lang w:val="en-GB"/>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text1">
    <w:name w:val="text1"/>
    <w:uiPriority w:val="99"/>
    <w:rsid w:val="00F67EDB"/>
    <w:rPr>
      <w:rFonts w:ascii="Arial" w:hAnsi="Arial"/>
      <w:sz w:val="18"/>
    </w:rPr>
  </w:style>
  <w:style w:type="paragraph" w:customStyle="1" w:styleId="arial">
    <w:name w:val="arial"/>
    <w:basedOn w:val="Normal"/>
    <w:uiPriority w:val="99"/>
    <w:rsid w:val="00583F58"/>
    <w:rPr>
      <w:lang w:val="pl-PL" w:eastAsia="en-GB"/>
    </w:rPr>
  </w:style>
  <w:style w:type="paragraph" w:styleId="NormalWeb">
    <w:name w:val="Normal (Web)"/>
    <w:basedOn w:val="Normal"/>
    <w:uiPriority w:val="99"/>
    <w:rsid w:val="00685E5F"/>
    <w:pPr>
      <w:spacing w:before="100" w:beforeAutospacing="1" w:after="100" w:afterAutospacing="1"/>
    </w:pPr>
    <w:rPr>
      <w:rFonts w:ascii="Verdana" w:hAnsi="Verdana"/>
      <w:color w:val="000000"/>
      <w:sz w:val="29"/>
      <w:szCs w:val="29"/>
    </w:rPr>
  </w:style>
  <w:style w:type="paragraph" w:customStyle="1" w:styleId="ColorfulList-Accent11">
    <w:name w:val="Colorful List - Accent 11"/>
    <w:basedOn w:val="Normal"/>
    <w:uiPriority w:val="99"/>
    <w:rsid w:val="00907BA6"/>
    <w:pPr>
      <w:ind w:left="720"/>
      <w:contextualSpacing/>
    </w:pPr>
  </w:style>
  <w:style w:type="paragraph" w:customStyle="1" w:styleId="MediumGrid1-Accent21">
    <w:name w:val="Medium Grid 1 - Accent 21"/>
    <w:basedOn w:val="Normal"/>
    <w:uiPriority w:val="99"/>
    <w:rsid w:val="00B02FDE"/>
    <w:pPr>
      <w:ind w:left="720"/>
    </w:pPr>
  </w:style>
  <w:style w:type="paragraph" w:customStyle="1" w:styleId="LightGrid-Accent31">
    <w:name w:val="Light Grid - Accent 31"/>
    <w:basedOn w:val="Normal"/>
    <w:uiPriority w:val="99"/>
    <w:rsid w:val="00454C9C"/>
    <w:pPr>
      <w:ind w:left="720"/>
    </w:pPr>
  </w:style>
  <w:style w:type="paragraph" w:customStyle="1" w:styleId="ColorfulList-Accent12">
    <w:name w:val="Colorful List - Accent 12"/>
    <w:basedOn w:val="Normal"/>
    <w:uiPriority w:val="99"/>
    <w:rsid w:val="006A62E3"/>
    <w:pPr>
      <w:ind w:left="720"/>
    </w:pPr>
  </w:style>
  <w:style w:type="character" w:styleId="FollowedHyperlink">
    <w:name w:val="FollowedHyperlink"/>
    <w:basedOn w:val="DefaultParagraphFont"/>
    <w:uiPriority w:val="99"/>
    <w:rsid w:val="005758CD"/>
    <w:rPr>
      <w:rFonts w:cs="Times New Roman"/>
      <w:color w:val="800080"/>
      <w:u w:val="single"/>
    </w:rPr>
  </w:style>
  <w:style w:type="paragraph" w:styleId="ListParagraph">
    <w:name w:val="List Paragraph"/>
    <w:basedOn w:val="Normal"/>
    <w:uiPriority w:val="34"/>
    <w:qFormat/>
    <w:rsid w:val="00C936B0"/>
    <w:pPr>
      <w:ind w:left="720"/>
    </w:pPr>
  </w:style>
  <w:style w:type="character" w:styleId="CommentReference">
    <w:name w:val="annotation reference"/>
    <w:basedOn w:val="DefaultParagraphFont"/>
    <w:uiPriority w:val="99"/>
    <w:semiHidden/>
    <w:unhideWhenUsed/>
    <w:rsid w:val="00582411"/>
    <w:rPr>
      <w:sz w:val="16"/>
      <w:szCs w:val="16"/>
    </w:rPr>
  </w:style>
  <w:style w:type="paragraph" w:styleId="CommentText">
    <w:name w:val="annotation text"/>
    <w:basedOn w:val="Normal"/>
    <w:link w:val="CommentTextChar"/>
    <w:uiPriority w:val="99"/>
    <w:semiHidden/>
    <w:unhideWhenUsed/>
    <w:rsid w:val="00582411"/>
    <w:rPr>
      <w:sz w:val="20"/>
      <w:szCs w:val="20"/>
    </w:rPr>
  </w:style>
  <w:style w:type="character" w:customStyle="1" w:styleId="CommentTextChar">
    <w:name w:val="Comment Text Char"/>
    <w:basedOn w:val="DefaultParagraphFont"/>
    <w:link w:val="CommentText"/>
    <w:uiPriority w:val="99"/>
    <w:semiHidden/>
    <w:rsid w:val="00582411"/>
    <w:rPr>
      <w:sz w:val="20"/>
      <w:szCs w:val="20"/>
    </w:rPr>
  </w:style>
  <w:style w:type="paragraph" w:styleId="CommentSubject">
    <w:name w:val="annotation subject"/>
    <w:basedOn w:val="CommentText"/>
    <w:next w:val="CommentText"/>
    <w:link w:val="CommentSubjectChar"/>
    <w:uiPriority w:val="99"/>
    <w:semiHidden/>
    <w:unhideWhenUsed/>
    <w:rsid w:val="00582411"/>
    <w:rPr>
      <w:b/>
      <w:bCs/>
    </w:rPr>
  </w:style>
  <w:style w:type="character" w:customStyle="1" w:styleId="CommentSubjectChar">
    <w:name w:val="Comment Subject Char"/>
    <w:basedOn w:val="CommentTextChar"/>
    <w:link w:val="CommentSubject"/>
    <w:uiPriority w:val="99"/>
    <w:semiHidden/>
    <w:rsid w:val="005824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5638F"/>
    <w:rPr>
      <w:rFonts w:cs="Times New Roman"/>
      <w:b/>
    </w:rPr>
  </w:style>
  <w:style w:type="paragraph" w:styleId="Header">
    <w:name w:val="header"/>
    <w:basedOn w:val="Normal"/>
    <w:link w:val="HeaderChar"/>
    <w:uiPriority w:val="99"/>
    <w:rsid w:val="00391BB2"/>
    <w:pPr>
      <w:tabs>
        <w:tab w:val="center" w:pos="4320"/>
        <w:tab w:val="right" w:pos="8640"/>
      </w:tabs>
    </w:pPr>
  </w:style>
  <w:style w:type="character" w:customStyle="1" w:styleId="HeaderChar">
    <w:name w:val="Header Char"/>
    <w:basedOn w:val="DefaultParagraphFont"/>
    <w:link w:val="Header"/>
    <w:uiPriority w:val="99"/>
    <w:locked/>
    <w:rsid w:val="00DE62F5"/>
    <w:rPr>
      <w:rFonts w:cs="Times New Roman"/>
      <w:sz w:val="24"/>
      <w:lang w:val="en-US" w:eastAsia="en-US"/>
    </w:rPr>
  </w:style>
  <w:style w:type="paragraph" w:styleId="Footer">
    <w:name w:val="footer"/>
    <w:basedOn w:val="Normal"/>
    <w:link w:val="FooterChar"/>
    <w:uiPriority w:val="99"/>
    <w:rsid w:val="00391BB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D0F3B"/>
    <w:rPr>
      <w:rFonts w:cs="Times New Roman"/>
    </w:rPr>
  </w:style>
  <w:style w:type="paragraph" w:styleId="BalloonText">
    <w:name w:val="Balloon Text"/>
    <w:basedOn w:val="Normal"/>
    <w:link w:val="BalloonTextChar"/>
    <w:uiPriority w:val="99"/>
    <w:semiHidden/>
    <w:rsid w:val="007E5A4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543F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3586D"/>
    <w:rPr>
      <w:rFonts w:cs="Times New Roman"/>
      <w:color w:val="0000FF"/>
      <w:u w:val="single"/>
    </w:rPr>
  </w:style>
  <w:style w:type="paragraph" w:styleId="BodyText">
    <w:name w:val="Body Text"/>
    <w:basedOn w:val="Normal"/>
    <w:link w:val="BodyTextChar"/>
    <w:uiPriority w:val="99"/>
    <w:rsid w:val="00F67EDB"/>
    <w:pPr>
      <w:jc w:val="both"/>
    </w:pPr>
    <w:rPr>
      <w:lang w:val="en-GB"/>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text1">
    <w:name w:val="text1"/>
    <w:uiPriority w:val="99"/>
    <w:rsid w:val="00F67EDB"/>
    <w:rPr>
      <w:rFonts w:ascii="Arial" w:hAnsi="Arial"/>
      <w:sz w:val="18"/>
    </w:rPr>
  </w:style>
  <w:style w:type="paragraph" w:customStyle="1" w:styleId="arial">
    <w:name w:val="arial"/>
    <w:basedOn w:val="Normal"/>
    <w:uiPriority w:val="99"/>
    <w:rsid w:val="00583F58"/>
    <w:rPr>
      <w:lang w:val="pl-PL" w:eastAsia="en-GB"/>
    </w:rPr>
  </w:style>
  <w:style w:type="paragraph" w:styleId="NormalWeb">
    <w:name w:val="Normal (Web)"/>
    <w:basedOn w:val="Normal"/>
    <w:uiPriority w:val="99"/>
    <w:rsid w:val="00685E5F"/>
    <w:pPr>
      <w:spacing w:before="100" w:beforeAutospacing="1" w:after="100" w:afterAutospacing="1"/>
    </w:pPr>
    <w:rPr>
      <w:rFonts w:ascii="Verdana" w:hAnsi="Verdana"/>
      <w:color w:val="000000"/>
      <w:sz w:val="29"/>
      <w:szCs w:val="29"/>
    </w:rPr>
  </w:style>
  <w:style w:type="paragraph" w:customStyle="1" w:styleId="ColorfulList-Accent11">
    <w:name w:val="Colorful List - Accent 11"/>
    <w:basedOn w:val="Normal"/>
    <w:uiPriority w:val="99"/>
    <w:rsid w:val="00907BA6"/>
    <w:pPr>
      <w:ind w:left="720"/>
      <w:contextualSpacing/>
    </w:pPr>
  </w:style>
  <w:style w:type="paragraph" w:customStyle="1" w:styleId="MediumGrid1-Accent21">
    <w:name w:val="Medium Grid 1 - Accent 21"/>
    <w:basedOn w:val="Normal"/>
    <w:uiPriority w:val="99"/>
    <w:rsid w:val="00B02FDE"/>
    <w:pPr>
      <w:ind w:left="720"/>
    </w:pPr>
  </w:style>
  <w:style w:type="paragraph" w:customStyle="1" w:styleId="LightGrid-Accent31">
    <w:name w:val="Light Grid - Accent 31"/>
    <w:basedOn w:val="Normal"/>
    <w:uiPriority w:val="99"/>
    <w:rsid w:val="00454C9C"/>
    <w:pPr>
      <w:ind w:left="720"/>
    </w:pPr>
  </w:style>
  <w:style w:type="paragraph" w:customStyle="1" w:styleId="ColorfulList-Accent12">
    <w:name w:val="Colorful List - Accent 12"/>
    <w:basedOn w:val="Normal"/>
    <w:uiPriority w:val="99"/>
    <w:rsid w:val="006A62E3"/>
    <w:pPr>
      <w:ind w:left="720"/>
    </w:pPr>
  </w:style>
  <w:style w:type="character" w:styleId="FollowedHyperlink">
    <w:name w:val="FollowedHyperlink"/>
    <w:basedOn w:val="DefaultParagraphFont"/>
    <w:uiPriority w:val="99"/>
    <w:rsid w:val="005758CD"/>
    <w:rPr>
      <w:rFonts w:cs="Times New Roman"/>
      <w:color w:val="800080"/>
      <w:u w:val="single"/>
    </w:rPr>
  </w:style>
  <w:style w:type="paragraph" w:styleId="ListParagraph">
    <w:name w:val="List Paragraph"/>
    <w:basedOn w:val="Normal"/>
    <w:uiPriority w:val="34"/>
    <w:qFormat/>
    <w:rsid w:val="00C936B0"/>
    <w:pPr>
      <w:ind w:left="720"/>
    </w:pPr>
  </w:style>
  <w:style w:type="character" w:styleId="CommentReference">
    <w:name w:val="annotation reference"/>
    <w:basedOn w:val="DefaultParagraphFont"/>
    <w:uiPriority w:val="99"/>
    <w:semiHidden/>
    <w:unhideWhenUsed/>
    <w:rsid w:val="00582411"/>
    <w:rPr>
      <w:sz w:val="16"/>
      <w:szCs w:val="16"/>
    </w:rPr>
  </w:style>
  <w:style w:type="paragraph" w:styleId="CommentText">
    <w:name w:val="annotation text"/>
    <w:basedOn w:val="Normal"/>
    <w:link w:val="CommentTextChar"/>
    <w:uiPriority w:val="99"/>
    <w:semiHidden/>
    <w:unhideWhenUsed/>
    <w:rsid w:val="00582411"/>
    <w:rPr>
      <w:sz w:val="20"/>
      <w:szCs w:val="20"/>
    </w:rPr>
  </w:style>
  <w:style w:type="character" w:customStyle="1" w:styleId="CommentTextChar">
    <w:name w:val="Comment Text Char"/>
    <w:basedOn w:val="DefaultParagraphFont"/>
    <w:link w:val="CommentText"/>
    <w:uiPriority w:val="99"/>
    <w:semiHidden/>
    <w:rsid w:val="00582411"/>
    <w:rPr>
      <w:sz w:val="20"/>
      <w:szCs w:val="20"/>
    </w:rPr>
  </w:style>
  <w:style w:type="paragraph" w:styleId="CommentSubject">
    <w:name w:val="annotation subject"/>
    <w:basedOn w:val="CommentText"/>
    <w:next w:val="CommentText"/>
    <w:link w:val="CommentSubjectChar"/>
    <w:uiPriority w:val="99"/>
    <w:semiHidden/>
    <w:unhideWhenUsed/>
    <w:rsid w:val="00582411"/>
    <w:rPr>
      <w:b/>
      <w:bCs/>
    </w:rPr>
  </w:style>
  <w:style w:type="character" w:customStyle="1" w:styleId="CommentSubjectChar">
    <w:name w:val="Comment Subject Char"/>
    <w:basedOn w:val="CommentTextChar"/>
    <w:link w:val="CommentSubject"/>
    <w:uiPriority w:val="99"/>
    <w:semiHidden/>
    <w:rsid w:val="005824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39213">
      <w:marLeft w:val="0"/>
      <w:marRight w:val="0"/>
      <w:marTop w:val="0"/>
      <w:marBottom w:val="0"/>
      <w:divBdr>
        <w:top w:val="none" w:sz="0" w:space="0" w:color="auto"/>
        <w:left w:val="none" w:sz="0" w:space="0" w:color="auto"/>
        <w:bottom w:val="none" w:sz="0" w:space="0" w:color="auto"/>
        <w:right w:val="none" w:sz="0" w:space="0" w:color="auto"/>
      </w:divBdr>
    </w:div>
    <w:div w:id="1048839214">
      <w:marLeft w:val="0"/>
      <w:marRight w:val="0"/>
      <w:marTop w:val="0"/>
      <w:marBottom w:val="0"/>
      <w:divBdr>
        <w:top w:val="none" w:sz="0" w:space="0" w:color="auto"/>
        <w:left w:val="none" w:sz="0" w:space="0" w:color="auto"/>
        <w:bottom w:val="none" w:sz="0" w:space="0" w:color="auto"/>
        <w:right w:val="none" w:sz="0" w:space="0" w:color="auto"/>
      </w:divBdr>
    </w:div>
    <w:div w:id="1048839215">
      <w:marLeft w:val="0"/>
      <w:marRight w:val="0"/>
      <w:marTop w:val="0"/>
      <w:marBottom w:val="0"/>
      <w:divBdr>
        <w:top w:val="none" w:sz="0" w:space="0" w:color="auto"/>
        <w:left w:val="none" w:sz="0" w:space="0" w:color="auto"/>
        <w:bottom w:val="none" w:sz="0" w:space="0" w:color="auto"/>
        <w:right w:val="none" w:sz="0" w:space="0" w:color="auto"/>
      </w:divBdr>
      <w:divsChild>
        <w:div w:id="1048839216">
          <w:marLeft w:val="0"/>
          <w:marRight w:val="0"/>
          <w:marTop w:val="0"/>
          <w:marBottom w:val="0"/>
          <w:divBdr>
            <w:top w:val="none" w:sz="0" w:space="0" w:color="auto"/>
            <w:left w:val="none" w:sz="0" w:space="0" w:color="auto"/>
            <w:bottom w:val="none" w:sz="0" w:space="0" w:color="auto"/>
            <w:right w:val="none" w:sz="0" w:space="0" w:color="auto"/>
          </w:divBdr>
        </w:div>
      </w:divsChild>
    </w:div>
    <w:div w:id="1048839217">
      <w:marLeft w:val="0"/>
      <w:marRight w:val="0"/>
      <w:marTop w:val="0"/>
      <w:marBottom w:val="0"/>
      <w:divBdr>
        <w:top w:val="none" w:sz="0" w:space="0" w:color="auto"/>
        <w:left w:val="none" w:sz="0" w:space="0" w:color="auto"/>
        <w:bottom w:val="none" w:sz="0" w:space="0" w:color="auto"/>
        <w:right w:val="none" w:sz="0" w:space="0" w:color="auto"/>
      </w:divBdr>
    </w:div>
    <w:div w:id="1048839218">
      <w:marLeft w:val="0"/>
      <w:marRight w:val="0"/>
      <w:marTop w:val="0"/>
      <w:marBottom w:val="0"/>
      <w:divBdr>
        <w:top w:val="none" w:sz="0" w:space="0" w:color="auto"/>
        <w:left w:val="none" w:sz="0" w:space="0" w:color="auto"/>
        <w:bottom w:val="none" w:sz="0" w:space="0" w:color="auto"/>
        <w:right w:val="none" w:sz="0" w:space="0" w:color="auto"/>
      </w:divBdr>
    </w:div>
    <w:div w:id="1048839219">
      <w:marLeft w:val="0"/>
      <w:marRight w:val="0"/>
      <w:marTop w:val="0"/>
      <w:marBottom w:val="0"/>
      <w:divBdr>
        <w:top w:val="none" w:sz="0" w:space="0" w:color="auto"/>
        <w:left w:val="none" w:sz="0" w:space="0" w:color="auto"/>
        <w:bottom w:val="none" w:sz="0" w:space="0" w:color="auto"/>
        <w:right w:val="none" w:sz="0" w:space="0" w:color="auto"/>
      </w:divBdr>
    </w:div>
    <w:div w:id="1048839220">
      <w:marLeft w:val="0"/>
      <w:marRight w:val="0"/>
      <w:marTop w:val="0"/>
      <w:marBottom w:val="0"/>
      <w:divBdr>
        <w:top w:val="none" w:sz="0" w:space="0" w:color="auto"/>
        <w:left w:val="none" w:sz="0" w:space="0" w:color="auto"/>
        <w:bottom w:val="none" w:sz="0" w:space="0" w:color="auto"/>
        <w:right w:val="none" w:sz="0" w:space="0" w:color="auto"/>
      </w:divBdr>
    </w:div>
    <w:div w:id="1048839221">
      <w:marLeft w:val="0"/>
      <w:marRight w:val="0"/>
      <w:marTop w:val="0"/>
      <w:marBottom w:val="0"/>
      <w:divBdr>
        <w:top w:val="none" w:sz="0" w:space="0" w:color="auto"/>
        <w:left w:val="none" w:sz="0" w:space="0" w:color="auto"/>
        <w:bottom w:val="none" w:sz="0" w:space="0" w:color="auto"/>
        <w:right w:val="none" w:sz="0" w:space="0" w:color="auto"/>
      </w:divBdr>
    </w:div>
    <w:div w:id="1048839222">
      <w:marLeft w:val="0"/>
      <w:marRight w:val="0"/>
      <w:marTop w:val="0"/>
      <w:marBottom w:val="0"/>
      <w:divBdr>
        <w:top w:val="none" w:sz="0" w:space="0" w:color="auto"/>
        <w:left w:val="none" w:sz="0" w:space="0" w:color="auto"/>
        <w:bottom w:val="none" w:sz="0" w:space="0" w:color="auto"/>
        <w:right w:val="none" w:sz="0" w:space="0" w:color="auto"/>
      </w:divBdr>
    </w:div>
    <w:div w:id="1048839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rp.eu/docs/decisions/Follow-up%20decision%20(2)%202011-07%20pdf.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rp.eu/docs/decisions/Follow%20Up%20decision%202012-19%20&amp;%2020%20pdf.pdf"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1780</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HUMAN RIGHTS REVIEW PANEL</vt:lpstr>
    </vt:vector>
  </TitlesOfParts>
  <Company>EULEX</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REVIEW PANEL</dc:title>
  <dc:creator>Leena Leikas</dc:creator>
  <cp:lastModifiedBy>Joanna Marszalik</cp:lastModifiedBy>
  <cp:revision>10</cp:revision>
  <cp:lastPrinted>2015-11-16T10:31:00Z</cp:lastPrinted>
  <dcterms:created xsi:type="dcterms:W3CDTF">2015-11-11T15:48:00Z</dcterms:created>
  <dcterms:modified xsi:type="dcterms:W3CDTF">2015-11-27T09:00:00Z</dcterms:modified>
</cp:coreProperties>
</file>